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005" w:rsidRPr="00295005" w:rsidRDefault="00295005" w:rsidP="00C449C9">
      <w:pPr>
        <w:tabs>
          <w:tab w:val="left" w:pos="851"/>
        </w:tabs>
        <w:rPr>
          <w:b/>
          <w:bCs/>
          <w:i/>
          <w:color w:val="FF0000"/>
          <w:sz w:val="20"/>
        </w:rPr>
      </w:pPr>
      <w:bookmarkStart w:id="0" w:name="_GoBack"/>
      <w:bookmarkEnd w:id="0"/>
    </w:p>
    <w:p w:rsidR="002C6047" w:rsidRPr="00592DCC" w:rsidRDefault="00D627B5" w:rsidP="007C037B">
      <w:pPr>
        <w:tabs>
          <w:tab w:val="left" w:pos="851"/>
        </w:tabs>
        <w:ind w:firstLine="142"/>
        <w:jc w:val="center"/>
        <w:rPr>
          <w:rFonts w:ascii="Arial" w:hAnsi="Arial" w:cs="Arial"/>
          <w:b/>
          <w:bCs/>
          <w:sz w:val="20"/>
          <w:lang w:val="en-US"/>
        </w:rPr>
      </w:pPr>
      <w:r>
        <w:rPr>
          <w:rFonts w:ascii="Arial" w:hAnsi="Arial" w:cs="Arial"/>
          <w:b/>
          <w:bCs/>
          <w:sz w:val="20"/>
          <w:lang w:val="en"/>
        </w:rPr>
        <w:t>THE GENERAL TERMS AND CONDITIONS OF SIBUR GROUP COMPANIES</w:t>
      </w:r>
    </w:p>
    <w:p w:rsidR="002C6047" w:rsidRPr="00592DCC" w:rsidRDefault="00592DCC" w:rsidP="005D3A72">
      <w:pPr>
        <w:tabs>
          <w:tab w:val="left" w:pos="851"/>
        </w:tabs>
        <w:ind w:firstLine="567"/>
        <w:jc w:val="center"/>
        <w:rPr>
          <w:rFonts w:ascii="Arial" w:hAnsi="Arial" w:cs="Arial"/>
          <w:b/>
          <w:bCs/>
          <w:i/>
          <w:color w:val="548DD4"/>
          <w:sz w:val="20"/>
          <w:lang w:val="en-US"/>
        </w:rPr>
      </w:pPr>
      <w:r w:rsidRPr="003F0F9E">
        <w:rPr>
          <w:rFonts w:ascii="Arial" w:hAnsi="Arial" w:cs="Arial"/>
          <w:b/>
          <w:bCs/>
          <w:sz w:val="20"/>
          <w:lang w:val="en"/>
        </w:rPr>
        <w:t>ON NON-DISCLOSURE OF CONFIDENTIAL INFORMATION</w:t>
      </w:r>
    </w:p>
    <w:p w:rsidR="00EC74E4" w:rsidRPr="00592DCC" w:rsidRDefault="00EC74E4" w:rsidP="00C449C9">
      <w:pPr>
        <w:tabs>
          <w:tab w:val="left" w:pos="851"/>
        </w:tabs>
        <w:rPr>
          <w:rFonts w:ascii="Arial" w:hAnsi="Arial" w:cs="Arial"/>
          <w:sz w:val="20"/>
          <w:lang w:val="en-US"/>
        </w:rPr>
      </w:pPr>
    </w:p>
    <w:p w:rsidR="005C27BE" w:rsidRPr="00592DCC" w:rsidRDefault="00D627B5" w:rsidP="005D3A72">
      <w:pPr>
        <w:tabs>
          <w:tab w:val="left" w:pos="851"/>
        </w:tabs>
        <w:ind w:firstLine="567"/>
        <w:rPr>
          <w:rFonts w:ascii="Arial" w:hAnsi="Arial" w:cs="Arial"/>
          <w:bCs/>
          <w:iCs/>
          <w:kern w:val="20"/>
          <w:sz w:val="20"/>
          <w:lang w:val="en-US"/>
        </w:rPr>
      </w:pPr>
      <w:bookmarkStart w:id="1" w:name="_DV_M9"/>
      <w:bookmarkStart w:id="2" w:name="_DV_M10"/>
      <w:bookmarkStart w:id="3" w:name="_DV_M11"/>
      <w:bookmarkStart w:id="4" w:name="_DV_M12"/>
      <w:bookmarkEnd w:id="1"/>
      <w:bookmarkEnd w:id="2"/>
      <w:bookmarkEnd w:id="3"/>
      <w:bookmarkEnd w:id="4"/>
      <w:r>
        <w:rPr>
          <w:rFonts w:ascii="Arial" w:hAnsi="Arial" w:cs="Arial"/>
          <w:bCs/>
          <w:sz w:val="20"/>
          <w:lang w:val="en"/>
        </w:rPr>
        <w:t>The General Terms and Conditions of SIBUR Group Companies on Non-Disclosure of Confidential Information (hereinafter referred to as the "</w:t>
      </w:r>
      <w:r w:rsidR="007F0B3B">
        <w:rPr>
          <w:rFonts w:ascii="Arial" w:hAnsi="Arial" w:cs="Arial"/>
          <w:b/>
          <w:sz w:val="20"/>
          <w:lang w:val="en"/>
        </w:rPr>
        <w:t xml:space="preserve">General Terms and </w:t>
      </w:r>
      <w:r>
        <w:rPr>
          <w:rFonts w:ascii="Arial" w:hAnsi="Arial" w:cs="Arial"/>
          <w:bCs/>
          <w:sz w:val="20"/>
          <w:lang w:val="en"/>
        </w:rPr>
        <w:t xml:space="preserve">Conditions" or </w:t>
      </w:r>
      <w:r w:rsidR="00953F1F" w:rsidRPr="00953F1F">
        <w:rPr>
          <w:rFonts w:ascii="Arial" w:hAnsi="Arial" w:cs="Arial"/>
          <w:b/>
          <w:bCs/>
          <w:sz w:val="20"/>
          <w:lang w:val="en"/>
        </w:rPr>
        <w:t>"Terms and Conditions")</w:t>
      </w:r>
      <w:r>
        <w:rPr>
          <w:rFonts w:ascii="Arial" w:hAnsi="Arial" w:cs="Arial"/>
          <w:bCs/>
          <w:sz w:val="20"/>
          <w:lang w:val="en"/>
        </w:rPr>
        <w:t xml:space="preserve"> shall apply to:  </w:t>
      </w:r>
    </w:p>
    <w:p w:rsidR="005C27BE" w:rsidRPr="00592DCC" w:rsidRDefault="005C27BE" w:rsidP="005D3A72">
      <w:pPr>
        <w:tabs>
          <w:tab w:val="left" w:pos="851"/>
        </w:tabs>
        <w:ind w:firstLine="567"/>
        <w:rPr>
          <w:rFonts w:ascii="Arial" w:hAnsi="Arial" w:cs="Arial"/>
          <w:b/>
          <w:bCs/>
          <w:sz w:val="20"/>
          <w:lang w:val="en-US"/>
        </w:rPr>
      </w:pPr>
    </w:p>
    <w:p w:rsidR="005C27BE" w:rsidRPr="00592DCC" w:rsidRDefault="00592DCC" w:rsidP="005D3A72">
      <w:pPr>
        <w:pStyle w:val="af0"/>
        <w:numPr>
          <w:ilvl w:val="0"/>
          <w:numId w:val="6"/>
        </w:numPr>
        <w:tabs>
          <w:tab w:val="left" w:pos="766"/>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sz w:val="20"/>
          <w:szCs w:val="20"/>
          <w:lang w:val="en"/>
        </w:rPr>
        <w:t xml:space="preserve">SIBUR Group Companies (the list of companies and their details are defined in Appendix No. 1 hereto), legal entities established and operating in accordance with the legislation of the Russian Federation (each separately referred to as </w:t>
      </w:r>
      <w:r w:rsidR="00987932">
        <w:rPr>
          <w:rFonts w:cs="Arial"/>
          <w:sz w:val="20"/>
          <w:szCs w:val="20"/>
          <w:lang w:val="en"/>
        </w:rPr>
        <w:t xml:space="preserve">the </w:t>
      </w:r>
      <w:r w:rsidRPr="00A27ED6">
        <w:rPr>
          <w:rFonts w:cs="Arial"/>
          <w:sz w:val="20"/>
          <w:szCs w:val="20"/>
          <w:lang w:val="en"/>
        </w:rPr>
        <w:t>"</w:t>
      </w:r>
      <w:r w:rsidR="00482BD4" w:rsidRPr="00A27ED6">
        <w:rPr>
          <w:rFonts w:cs="Arial"/>
          <w:b/>
          <w:bCs/>
          <w:iCs/>
          <w:kern w:val="20"/>
          <w:sz w:val="20"/>
          <w:szCs w:val="20"/>
          <w:lang w:val="en"/>
        </w:rPr>
        <w:t>Company"</w:t>
      </w:r>
      <w:r w:rsidRPr="00A27ED6">
        <w:rPr>
          <w:rFonts w:cs="Arial"/>
          <w:sz w:val="20"/>
          <w:szCs w:val="20"/>
          <w:lang w:val="en"/>
        </w:rPr>
        <w:t xml:space="preserve">) and </w:t>
      </w:r>
    </w:p>
    <w:p w:rsidR="005C27BE" w:rsidRPr="00592DCC" w:rsidRDefault="00987932" w:rsidP="005D3A72">
      <w:pPr>
        <w:pStyle w:val="af0"/>
        <w:numPr>
          <w:ilvl w:val="0"/>
          <w:numId w:val="6"/>
        </w:numPr>
        <w:tabs>
          <w:tab w:val="left" w:pos="482"/>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a legal entity or individual entrepreneur (the "</w:t>
      </w:r>
      <w:r w:rsidR="00482BD4" w:rsidRPr="00A27ED6">
        <w:rPr>
          <w:rFonts w:cs="Arial"/>
          <w:b/>
          <w:bCs/>
          <w:iCs/>
          <w:kern w:val="20"/>
          <w:sz w:val="20"/>
          <w:szCs w:val="20"/>
          <w:lang w:val="en"/>
        </w:rPr>
        <w:t>Counterparty"</w:t>
      </w:r>
      <w:r>
        <w:rPr>
          <w:rFonts w:cs="Arial"/>
          <w:bCs/>
          <w:iCs/>
          <w:kern w:val="20"/>
          <w:sz w:val="20"/>
          <w:szCs w:val="20"/>
          <w:lang w:val="en"/>
        </w:rPr>
        <w:t>)</w:t>
      </w:r>
    </w:p>
    <w:p w:rsidR="00433DBA" w:rsidRPr="00592DCC" w:rsidRDefault="00592DCC" w:rsidP="00F44432">
      <w:pPr>
        <w:tabs>
          <w:tab w:val="left" w:pos="426"/>
          <w:tab w:val="left" w:pos="851"/>
          <w:tab w:val="left" w:pos="1440"/>
          <w:tab w:val="left" w:pos="2520"/>
          <w:tab w:val="left" w:pos="3960"/>
          <w:tab w:val="left" w:pos="5760"/>
          <w:tab w:val="left" w:pos="7560"/>
        </w:tabs>
        <w:ind w:firstLine="567"/>
        <w:rPr>
          <w:rFonts w:ascii="Arial" w:hAnsi="Arial" w:cs="Arial"/>
          <w:bCs/>
          <w:iCs/>
          <w:kern w:val="20"/>
          <w:sz w:val="20"/>
          <w:lang w:val="en-US"/>
        </w:rPr>
      </w:pPr>
      <w:r w:rsidRPr="003F0F9E">
        <w:rPr>
          <w:rFonts w:ascii="Arial" w:hAnsi="Arial" w:cs="Arial"/>
          <w:bCs/>
          <w:iCs/>
          <w:kern w:val="20"/>
          <w:sz w:val="20"/>
          <w:lang w:val="en"/>
        </w:rPr>
        <w:t>(hereinafter collectively referred to as the “</w:t>
      </w:r>
      <w:r w:rsidRPr="003F0F9E">
        <w:rPr>
          <w:rFonts w:ascii="Arial" w:hAnsi="Arial" w:cs="Arial"/>
          <w:b/>
          <w:iCs/>
          <w:kern w:val="20"/>
          <w:sz w:val="20"/>
          <w:lang w:val="en"/>
        </w:rPr>
        <w:t>Parties</w:t>
      </w:r>
      <w:r w:rsidRPr="003F0F9E">
        <w:rPr>
          <w:rFonts w:ascii="Arial" w:hAnsi="Arial" w:cs="Arial"/>
          <w:bCs/>
          <w:iCs/>
          <w:kern w:val="20"/>
          <w:sz w:val="20"/>
          <w:lang w:val="en"/>
        </w:rPr>
        <w:t>” and individually as a “</w:t>
      </w:r>
      <w:r w:rsidRPr="003F0F9E">
        <w:rPr>
          <w:rFonts w:ascii="Arial" w:hAnsi="Arial" w:cs="Arial"/>
          <w:b/>
          <w:iCs/>
          <w:kern w:val="20"/>
          <w:sz w:val="20"/>
          <w:lang w:val="en"/>
        </w:rPr>
        <w:t>Party</w:t>
      </w:r>
      <w:r w:rsidRPr="003F0F9E">
        <w:rPr>
          <w:rFonts w:ascii="Arial" w:hAnsi="Arial" w:cs="Arial"/>
          <w:bCs/>
          <w:iCs/>
          <w:kern w:val="20"/>
          <w:sz w:val="20"/>
          <w:lang w:val="en"/>
        </w:rPr>
        <w:t>”).</w:t>
      </w:r>
    </w:p>
    <w:p w:rsidR="005C27BE" w:rsidRPr="00D406E7" w:rsidRDefault="00592DCC" w:rsidP="00782EC3">
      <w:pPr>
        <w:pStyle w:val="af0"/>
        <w:numPr>
          <w:ilvl w:val="0"/>
          <w:numId w:val="7"/>
        </w:numPr>
        <w:tabs>
          <w:tab w:val="left" w:pos="851"/>
        </w:tabs>
        <w:spacing w:before="240" w:line="288" w:lineRule="auto"/>
        <w:ind w:left="0" w:firstLine="567"/>
        <w:rPr>
          <w:rFonts w:cs="Arial"/>
          <w:b/>
          <w:bCs/>
          <w:caps/>
          <w:sz w:val="20"/>
          <w:szCs w:val="20"/>
          <w:lang w:val="ru-RU"/>
        </w:rPr>
      </w:pPr>
      <w:r w:rsidRPr="00D406E7">
        <w:rPr>
          <w:rFonts w:cs="Arial"/>
          <w:b/>
          <w:bCs/>
          <w:caps/>
          <w:sz w:val="20"/>
          <w:szCs w:val="20"/>
          <w:lang w:val="en"/>
        </w:rPr>
        <w:t>Whereas:</w:t>
      </w:r>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kern w:val="20"/>
          <w:sz w:val="20"/>
          <w:szCs w:val="20"/>
          <w:lang w:val="en-US"/>
        </w:rPr>
      </w:pPr>
      <w:r>
        <w:rPr>
          <w:rFonts w:cs="Arial"/>
          <w:bCs/>
          <w:iCs/>
          <w:kern w:val="20"/>
          <w:sz w:val="20"/>
          <w:szCs w:val="20"/>
          <w:lang w:val="en"/>
        </w:rPr>
        <w:t>Within joint business projects, the Parties intend</w:t>
      </w:r>
      <w:r w:rsidR="00033C03">
        <w:rPr>
          <w:rFonts w:cs="Arial"/>
          <w:color w:val="000000" w:themeColor="text1"/>
          <w:sz w:val="20"/>
          <w:szCs w:val="20"/>
          <w:lang w:val="en"/>
        </w:rPr>
        <w:t xml:space="preserve"> (</w:t>
      </w:r>
      <w:r>
        <w:rPr>
          <w:rFonts w:cs="Arial"/>
          <w:bCs/>
          <w:iCs/>
          <w:kern w:val="20"/>
          <w:sz w:val="20"/>
          <w:szCs w:val="20"/>
          <w:lang w:val="en"/>
        </w:rPr>
        <w:t>hereinafter referred to as the "</w:t>
      </w:r>
      <w:r w:rsidRPr="00ED1A9E">
        <w:rPr>
          <w:rFonts w:cs="Arial"/>
          <w:b/>
          <w:bCs/>
          <w:iCs/>
          <w:sz w:val="20"/>
          <w:szCs w:val="20"/>
          <w:lang w:val="en"/>
        </w:rPr>
        <w:t>Subject of Cooperation</w:t>
      </w:r>
      <w:r>
        <w:rPr>
          <w:rFonts w:cs="Arial"/>
          <w:bCs/>
          <w:iCs/>
          <w:kern w:val="20"/>
          <w:sz w:val="20"/>
          <w:szCs w:val="20"/>
          <w:lang w:val="en"/>
        </w:rPr>
        <w:t xml:space="preserve">") to exchange the Confidential Information. </w:t>
      </w:r>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 xml:space="preserve">The Parties hereby confirm that if one of the Parties (hereinafter referred to as the </w:t>
      </w:r>
      <w:r w:rsidRPr="00A27ED6">
        <w:rPr>
          <w:rFonts w:cs="Arial"/>
          <w:b/>
          <w:bCs/>
          <w:iCs/>
          <w:kern w:val="20"/>
          <w:sz w:val="20"/>
          <w:szCs w:val="20"/>
          <w:lang w:val="en"/>
        </w:rPr>
        <w:t>“Disclosing Party”</w:t>
      </w:r>
      <w:r w:rsidRPr="00A27ED6">
        <w:rPr>
          <w:rFonts w:cs="Arial"/>
          <w:bCs/>
          <w:iCs/>
          <w:kern w:val="20"/>
          <w:sz w:val="20"/>
          <w:szCs w:val="20"/>
          <w:lang w:val="en"/>
        </w:rPr>
        <w:t xml:space="preserve">) communicates the Confidential Information to the other Party (hereinafter referred to as the </w:t>
      </w:r>
      <w:r w:rsidRPr="00A27ED6">
        <w:rPr>
          <w:rFonts w:cs="Arial"/>
          <w:b/>
          <w:bCs/>
          <w:iCs/>
          <w:kern w:val="20"/>
          <w:sz w:val="20"/>
          <w:szCs w:val="20"/>
          <w:lang w:val="en"/>
        </w:rPr>
        <w:t>“Receiving Party”</w:t>
      </w:r>
      <w:r w:rsidRPr="00A27ED6">
        <w:rPr>
          <w:rFonts w:cs="Arial"/>
          <w:bCs/>
          <w:iCs/>
          <w:kern w:val="20"/>
          <w:sz w:val="20"/>
          <w:szCs w:val="20"/>
          <w:lang w:val="en"/>
        </w:rPr>
        <w:t>), the requirements of the General Terms and Conditions shall be respected;</w:t>
      </w:r>
    </w:p>
    <w:p w:rsidR="007C037B"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The Counterparty shall join the General Terms and Conditions on the basis of the Notice of Adherence to the General Terms and Conditions sent to the Company or by signing the Agreement containing provisions on joining the General Terms and Conditions in accordance with the procedure provided for by Article 428 of the Civil Code of the Russian Federation and the General Terms and Conditions;</w:t>
      </w:r>
    </w:p>
    <w:p w:rsidR="00033C03" w:rsidRPr="00592DCC" w:rsidRDefault="00033C03" w:rsidP="00782EC3">
      <w:pPr>
        <w:pStyle w:val="af0"/>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p>
    <w:p w:rsidR="005C27BE" w:rsidRPr="00622235"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caps/>
          <w:sz w:val="20"/>
          <w:szCs w:val="20"/>
        </w:rPr>
      </w:pPr>
      <w:bookmarkStart w:id="5" w:name="_Toc465692974"/>
      <w:bookmarkStart w:id="6" w:name="_Ref489982160"/>
      <w:bookmarkStart w:id="7" w:name="_Ref490038224"/>
      <w:bookmarkStart w:id="8" w:name="_Ref490038241"/>
      <w:r w:rsidRPr="003F0F9E">
        <w:rPr>
          <w:rFonts w:cs="Arial"/>
          <w:b/>
          <w:bCs/>
          <w:caps/>
          <w:sz w:val="20"/>
          <w:szCs w:val="20"/>
          <w:lang w:val="en"/>
        </w:rPr>
        <w:t>DEFINITIONS AND INTERPRETATION</w:t>
      </w:r>
      <w:bookmarkEnd w:id="5"/>
      <w:bookmarkEnd w:id="6"/>
      <w:bookmarkEnd w:id="7"/>
      <w:bookmarkEnd w:id="8"/>
    </w:p>
    <w:p w:rsidR="005C27BE" w:rsidRPr="00FA01C7" w:rsidRDefault="00592DCC"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rPr>
      </w:pPr>
      <w:bookmarkStart w:id="9" w:name="_Ref466391235"/>
      <w:r w:rsidRPr="00FA01C7">
        <w:rPr>
          <w:rFonts w:cs="Arial"/>
          <w:sz w:val="20"/>
          <w:lang w:val="en"/>
        </w:rPr>
        <w:t>“</w:t>
      </w:r>
      <w:r w:rsidRPr="00FA01C7">
        <w:rPr>
          <w:rFonts w:cs="Arial"/>
          <w:b/>
          <w:bCs/>
          <w:sz w:val="20"/>
          <w:lang w:val="en"/>
        </w:rPr>
        <w:t>Affiliate</w:t>
      </w:r>
      <w:r w:rsidRPr="00FA01C7">
        <w:rPr>
          <w:rFonts w:cs="Arial"/>
          <w:sz w:val="20"/>
          <w:lang w:val="en"/>
        </w:rPr>
        <w:t xml:space="preserve">” means in the case of each Party, any individual and/or legal entity directly or indirectly Controlling, Controlled or under general Control; and in the case of Company only, also </w:t>
      </w:r>
      <w:bookmarkEnd w:id="9"/>
      <w:r w:rsidRPr="00FA01C7">
        <w:rPr>
          <w:rFonts w:cs="Arial"/>
          <w:sz w:val="20"/>
          <w:lang w:val="en"/>
        </w:rPr>
        <w:t>Krasnoyarsk Synthetic Rubber Plant JSC, Research and Design Institute for Gas Processing JSC, Neftekhimia Research and Product Plant LLC, Plastic-Geosynthetics LLC, Omsk Polypropylene Plant LLC, Rusvynil LLC, Yuzhno-Priobsky Gas Processing Plant LLC, and Reliance SIBUR Elastomers Private Limited;</w:t>
      </w:r>
    </w:p>
    <w:p w:rsidR="00BA3C35" w:rsidRPr="00630F36" w:rsidRDefault="00592DCC"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szCs w:val="20"/>
          <w:lang w:val="en"/>
        </w:rPr>
        <w:t>“</w:t>
      </w:r>
      <w:r w:rsidRPr="00FA01C7">
        <w:rPr>
          <w:rFonts w:cs="Arial"/>
          <w:b/>
          <w:bCs/>
          <w:sz w:val="20"/>
          <w:szCs w:val="20"/>
          <w:lang w:val="en"/>
        </w:rPr>
        <w:t>Control</w:t>
      </w:r>
      <w:r w:rsidRPr="00FA01C7">
        <w:rPr>
          <w:rFonts w:cs="Arial"/>
          <w:sz w:val="20"/>
          <w:szCs w:val="20"/>
          <w:lang w:val="en"/>
        </w:rPr>
        <w:t>” (including terms such as “</w:t>
      </w:r>
      <w:r w:rsidRPr="00FA01C7">
        <w:rPr>
          <w:rFonts w:cs="Arial"/>
          <w:b/>
          <w:bCs/>
          <w:sz w:val="20"/>
          <w:szCs w:val="20"/>
          <w:lang w:val="en"/>
        </w:rPr>
        <w:t>Controlling</w:t>
      </w:r>
      <w:r w:rsidRPr="00FA01C7">
        <w:rPr>
          <w:rFonts w:cs="Arial"/>
          <w:sz w:val="20"/>
          <w:szCs w:val="20"/>
          <w:lang w:val="en"/>
        </w:rPr>
        <w:t>”, “</w:t>
      </w:r>
      <w:r w:rsidRPr="00FA01C7">
        <w:rPr>
          <w:rFonts w:cs="Arial"/>
          <w:b/>
          <w:bCs/>
          <w:sz w:val="20"/>
          <w:szCs w:val="20"/>
          <w:lang w:val="en"/>
        </w:rPr>
        <w:t>Controlled</w:t>
      </w:r>
      <w:r w:rsidRPr="00FA01C7">
        <w:rPr>
          <w:rFonts w:cs="Arial"/>
          <w:sz w:val="20"/>
          <w:szCs w:val="20"/>
          <w:lang w:val="en"/>
        </w:rPr>
        <w:t>” and “</w:t>
      </w:r>
      <w:r w:rsidRPr="00FA01C7">
        <w:rPr>
          <w:rFonts w:cs="Arial"/>
          <w:b/>
          <w:bCs/>
          <w:sz w:val="20"/>
          <w:szCs w:val="20"/>
          <w:lang w:val="en"/>
        </w:rPr>
        <w:t>under common Control</w:t>
      </w:r>
      <w:r w:rsidRPr="00FA01C7">
        <w:rPr>
          <w:rFonts w:cs="Arial"/>
          <w:sz w:val="20"/>
          <w:szCs w:val="20"/>
          <w:lang w:val="en"/>
        </w:rPr>
        <w:t>”) means holding, directly or indirectly through one or several links, more than 50% of the outstanding shares or the ability to determine or influence the determination of management policies or activities of any entity, either through participation in the authorized capital, or by virtue of an agreement or otherwise;</w:t>
      </w:r>
    </w:p>
    <w:p w:rsidR="00033C03" w:rsidRPr="00592DCC" w:rsidRDefault="00592DCC"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BA3C35">
        <w:rPr>
          <w:rFonts w:cs="Arial"/>
          <w:b/>
          <w:bCs/>
          <w:iCs/>
          <w:sz w:val="20"/>
          <w:lang w:val="en"/>
        </w:rPr>
        <w:t>"Confidential Information"</w:t>
      </w:r>
      <w:r w:rsidRPr="00BA3C35">
        <w:rPr>
          <w:rFonts w:cs="Arial"/>
          <w:bCs/>
          <w:iCs/>
          <w:sz w:val="20"/>
          <w:lang w:val="en"/>
        </w:rPr>
        <w:t xml:space="preserve"> means any information belonging to the Disclosing Party and/or its Affiliates (including information about the existence of the cooperation or discussion of any issues between the Parties) that the Disclosing Party sends to the Receiving Party in any form, directly or indirectly (including as a part of the ongoing negotiations) in connection with the cooperation of the Parties (hereinafter referred to as the "</w:t>
      </w:r>
      <w:r w:rsidRPr="00BA3C35">
        <w:rPr>
          <w:rFonts w:cs="Arial"/>
          <w:b/>
          <w:iCs/>
          <w:sz w:val="20"/>
          <w:lang w:val="en"/>
        </w:rPr>
        <w:t>Information</w:t>
      </w:r>
      <w:r w:rsidRPr="00BA3C35">
        <w:rPr>
          <w:rFonts w:cs="Arial"/>
          <w:bCs/>
          <w:iCs/>
          <w:sz w:val="20"/>
          <w:lang w:val="en"/>
        </w:rPr>
        <w:t>") and in respect of which the owner of such information has established a Confidentiality Mode; the exchange of information does not mean and does not imply granting of any rights and licenses;</w:t>
      </w:r>
    </w:p>
    <w:p w:rsidR="002765B1" w:rsidRPr="00592DCC" w:rsidRDefault="00592DCC"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b/>
          <w:sz w:val="20"/>
          <w:lang w:val="en"/>
        </w:rPr>
        <w:t>"Confidentiality Mode"</w:t>
      </w:r>
      <w:r w:rsidR="00837D48" w:rsidRPr="00FA01C7">
        <w:rPr>
          <w:rFonts w:cs="Arial"/>
          <w:sz w:val="20"/>
          <w:lang w:val="en"/>
        </w:rPr>
        <w:t xml:space="preserve"> means any measures taken by the owner of the Information, measures to protect its confidentiality in accordance with the legislation of the Russian Federation;</w:t>
      </w:r>
    </w:p>
    <w:p w:rsidR="00BB410A" w:rsidRPr="00592DCC" w:rsidRDefault="00592DCC" w:rsidP="00782EC3">
      <w:pPr>
        <w:pStyle w:val="af0"/>
        <w:numPr>
          <w:ilvl w:val="1"/>
          <w:numId w:val="8"/>
        </w:numPr>
        <w:tabs>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lang w:val="en"/>
        </w:rPr>
        <w:t>"</w:t>
      </w:r>
      <w:r w:rsidRPr="00FA01C7">
        <w:rPr>
          <w:rFonts w:cs="Arial"/>
          <w:b/>
          <w:bCs/>
          <w:sz w:val="20"/>
          <w:lang w:val="en"/>
        </w:rPr>
        <w:t>Related Parties"</w:t>
      </w:r>
      <w:r w:rsidRPr="00FA01C7">
        <w:rPr>
          <w:rFonts w:cs="Arial"/>
          <w:sz w:val="20"/>
          <w:lang w:val="en"/>
        </w:rPr>
        <w:t xml:space="preserve"> mean any persons related to the Subject of Cooperation, including: </w:t>
      </w:r>
    </w:p>
    <w:p w:rsidR="00E512E6" w:rsidRPr="00592DCC" w:rsidRDefault="00592DCC" w:rsidP="00BB410A">
      <w:pPr>
        <w:pStyle w:val="af0"/>
        <w:tabs>
          <w:tab w:val="left" w:pos="1134"/>
          <w:tab w:val="left" w:pos="2520"/>
          <w:tab w:val="left" w:pos="3960"/>
          <w:tab w:val="left" w:pos="5760"/>
          <w:tab w:val="left" w:pos="7560"/>
        </w:tabs>
        <w:spacing w:line="288" w:lineRule="auto"/>
        <w:ind w:left="567"/>
        <w:rPr>
          <w:sz w:val="20"/>
          <w:lang w:val="en-US"/>
        </w:rPr>
      </w:pPr>
      <w:r>
        <w:rPr>
          <w:rFonts w:cs="Arial"/>
          <w:sz w:val="20"/>
          <w:lang w:val="en"/>
        </w:rPr>
        <w:t xml:space="preserve">- officials, employees, consultants, customs representatives, investors, agents and representatives of the Parties; </w:t>
      </w:r>
    </w:p>
    <w:p w:rsidR="00E512E6" w:rsidRPr="00592DCC" w:rsidRDefault="00592DCC" w:rsidP="00782EC3">
      <w:pPr>
        <w:tabs>
          <w:tab w:val="left" w:pos="1134"/>
          <w:tab w:val="left" w:pos="2520"/>
          <w:tab w:val="left" w:pos="3960"/>
          <w:tab w:val="left" w:pos="5760"/>
          <w:tab w:val="left" w:pos="7560"/>
        </w:tabs>
        <w:spacing w:line="288" w:lineRule="auto"/>
        <w:ind w:firstLine="567"/>
        <w:rPr>
          <w:rFonts w:ascii="Arial" w:hAnsi="Arial" w:cs="Arial"/>
          <w:sz w:val="20"/>
          <w:szCs w:val="24"/>
          <w:lang w:val="en-US" w:eastAsia="en-US"/>
        </w:rPr>
      </w:pPr>
      <w:r>
        <w:rPr>
          <w:sz w:val="20"/>
          <w:lang w:val="en"/>
        </w:rPr>
        <w:t xml:space="preserve">- </w:t>
      </w:r>
      <w:r w:rsidR="00475C32" w:rsidRPr="00E512E6">
        <w:rPr>
          <w:rFonts w:ascii="Arial" w:hAnsi="Arial" w:cs="Arial"/>
          <w:sz w:val="20"/>
          <w:szCs w:val="24"/>
          <w:lang w:val="en" w:eastAsia="en-US"/>
        </w:rPr>
        <w:t xml:space="preserve">Affiliates and their employees, officers, consultants, agents and representatives; </w:t>
      </w:r>
    </w:p>
    <w:p w:rsidR="00EC2A01" w:rsidRPr="00592DCC" w:rsidRDefault="00592DCC" w:rsidP="00782EC3">
      <w:pPr>
        <w:tabs>
          <w:tab w:val="left" w:pos="1134"/>
          <w:tab w:val="left" w:pos="2520"/>
          <w:tab w:val="left" w:pos="3960"/>
          <w:tab w:val="left" w:pos="5760"/>
          <w:tab w:val="left" w:pos="7560"/>
        </w:tabs>
        <w:spacing w:line="288" w:lineRule="auto"/>
        <w:ind w:firstLine="567"/>
        <w:rPr>
          <w:rFonts w:cs="Arial"/>
          <w:sz w:val="20"/>
          <w:lang w:val="en-US"/>
        </w:rPr>
      </w:pPr>
      <w:r>
        <w:rPr>
          <w:rFonts w:ascii="Arial" w:hAnsi="Arial" w:cs="Arial"/>
          <w:sz w:val="20"/>
          <w:szCs w:val="24"/>
          <w:lang w:val="en" w:eastAsia="en-US"/>
        </w:rPr>
        <w:t>- officials, employees and partners of the above-mentioned consultants, agents and representatives or their respective Affiliates.</w:t>
      </w:r>
    </w:p>
    <w:p w:rsidR="004C7AC0"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sz w:val="20"/>
          <w:szCs w:val="20"/>
          <w:lang w:val="ru-RU"/>
        </w:rPr>
      </w:pPr>
      <w:r w:rsidRPr="003F0F9E">
        <w:rPr>
          <w:rFonts w:cs="Arial"/>
          <w:b/>
          <w:bCs/>
          <w:caps/>
          <w:sz w:val="20"/>
          <w:szCs w:val="20"/>
          <w:lang w:val="en"/>
        </w:rPr>
        <w:t xml:space="preserve">AUTHORIZED DISCLOSURE OF INFORMATION </w:t>
      </w:r>
    </w:p>
    <w:p w:rsidR="004C7AC0"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Receiving Party may disclose, reproduce and distribute Information:  </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lastRenderedPageBreak/>
        <w:t>with a prior written consent of the Disclosing Party only;</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To Related Parties of the Receiving Party involved in the study, evaluation or implementation of the Subject of Cooperation (hereinafter referred to as "</w:t>
      </w:r>
      <w:r w:rsidRPr="003F0F9E">
        <w:rPr>
          <w:rFonts w:cs="Arial"/>
          <w:b/>
          <w:bCs/>
          <w:sz w:val="20"/>
          <w:szCs w:val="20"/>
          <w:lang w:val="en"/>
        </w:rPr>
        <w:t>Authorized Recipients</w:t>
      </w:r>
      <w:r w:rsidRPr="003F0F9E">
        <w:rPr>
          <w:rFonts w:cs="Arial"/>
          <w:sz w:val="20"/>
          <w:szCs w:val="20"/>
          <w:lang w:val="en"/>
        </w:rPr>
        <w:t>") without obtaining a prior consent of the Disclosing Party; or</w:t>
      </w:r>
    </w:p>
    <w:p w:rsidR="004C7AC0" w:rsidRPr="00592DCC" w:rsidRDefault="00592DCC"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in cases where disclosure is required in accordance with the legislation of the Russian Federation, provided that the Receiving Party, in case of disclosure of Information, observes the following procedure for notifying the Disclosing Party:</w:t>
      </w:r>
    </w:p>
    <w:p w:rsidR="004C7AC0" w:rsidRPr="00592DCC" w:rsidRDefault="00592DCC"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notifies the Disclosing Party of the disclosure at least three (3) business days in advance (indicating the form, terms, procedure and purpose of the intended disclosure);</w:t>
      </w:r>
    </w:p>
    <w:p w:rsidR="004C7AC0" w:rsidRPr="00592DCC" w:rsidRDefault="00592DCC" w:rsidP="00B722F8">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takes reasonable measures (if possible) to ensure that the Confidentiality Mode is observed with respect to the transferred Information;</w:t>
      </w:r>
    </w:p>
    <w:p w:rsidR="004C7AC0" w:rsidRPr="00592DCC" w:rsidRDefault="00592DCC"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discloses Information to the minimum possible extent necessary to fulfill the requirements of the relevant authorized state body.</w:t>
      </w:r>
    </w:p>
    <w:p w:rsidR="0060728D" w:rsidRPr="00592DCC" w:rsidRDefault="00592DCC" w:rsidP="0060728D">
      <w:pPr>
        <w:pStyle w:val="af0"/>
        <w:numPr>
          <w:ilvl w:val="1"/>
          <w:numId w:val="8"/>
        </w:numPr>
        <w:spacing w:line="288" w:lineRule="auto"/>
        <w:ind w:left="0" w:firstLine="567"/>
        <w:rPr>
          <w:rFonts w:cs="Arial"/>
          <w:sz w:val="20"/>
          <w:szCs w:val="20"/>
          <w:lang w:val="en-US"/>
        </w:rPr>
      </w:pPr>
      <w:r w:rsidRPr="00B722F8">
        <w:rPr>
          <w:rFonts w:cs="Arial"/>
          <w:sz w:val="20"/>
          <w:szCs w:val="20"/>
          <w:lang w:val="en"/>
        </w:rPr>
        <w:t>When transferring the information constituting a commercial secret, the “Commercial Secret” stamp shall be applied on the information carriers with the name of the Disclosing Party and its location.</w:t>
      </w:r>
    </w:p>
    <w:p w:rsidR="00A057D9" w:rsidRPr="00592DCC" w:rsidRDefault="00592DCC" w:rsidP="0060728D">
      <w:pPr>
        <w:pStyle w:val="af0"/>
        <w:numPr>
          <w:ilvl w:val="1"/>
          <w:numId w:val="8"/>
        </w:numPr>
        <w:spacing w:line="288" w:lineRule="auto"/>
        <w:ind w:left="0" w:firstLine="567"/>
        <w:rPr>
          <w:rFonts w:cs="Arial"/>
          <w:sz w:val="20"/>
          <w:szCs w:val="20"/>
          <w:lang w:val="en-US"/>
        </w:rPr>
      </w:pPr>
      <w:r w:rsidRPr="00701850">
        <w:rPr>
          <w:rFonts w:cs="Arial"/>
          <w:sz w:val="20"/>
          <w:szCs w:val="20"/>
          <w:lang w:val="en"/>
        </w:rPr>
        <w:t>The Receiving Party shall inform the Authorized Recipients about the confidential nature of the Information, and ensure that the Authorized Recipients fulfill their obligations with respect to the Information provided for in the General Terms and Conditions.</w:t>
      </w:r>
    </w:p>
    <w:p w:rsidR="00433DBA" w:rsidRPr="00592DCC" w:rsidRDefault="00433DBA" w:rsidP="00433DBA">
      <w:pPr>
        <w:pStyle w:val="af0"/>
        <w:spacing w:line="288" w:lineRule="auto"/>
        <w:ind w:left="792"/>
        <w:rPr>
          <w:rFonts w:cs="Arial"/>
          <w:sz w:val="20"/>
          <w:szCs w:val="20"/>
          <w:highlight w:val="yellow"/>
          <w:lang w:val="en-US"/>
        </w:rPr>
      </w:pPr>
    </w:p>
    <w:p w:rsidR="004C7AC0" w:rsidRPr="000230AE"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0" w:name="_Toc465692975"/>
      <w:bookmarkStart w:id="11" w:name="_Ref466275768"/>
      <w:bookmarkStart w:id="12" w:name="_Ref466275870"/>
      <w:bookmarkStart w:id="13" w:name="_Ref466275973"/>
      <w:r w:rsidRPr="003F0F9E">
        <w:rPr>
          <w:rFonts w:cs="Arial"/>
          <w:b/>
          <w:bCs/>
          <w:caps/>
          <w:sz w:val="20"/>
          <w:szCs w:val="20"/>
          <w:lang w:val="en"/>
        </w:rPr>
        <w:t>SECRECY UNDERTAKINGS</w:t>
      </w:r>
      <w:bookmarkEnd w:id="10"/>
      <w:bookmarkEnd w:id="11"/>
      <w:bookmarkEnd w:id="12"/>
      <w:bookmarkEnd w:id="13"/>
    </w:p>
    <w:p w:rsidR="005C27BE" w:rsidRPr="00592DCC" w:rsidRDefault="00592DCC"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szCs w:val="20"/>
          <w:lang w:val="en-US"/>
        </w:rPr>
      </w:pPr>
      <w:r w:rsidRPr="006D3679">
        <w:rPr>
          <w:rFonts w:cs="Arial"/>
          <w:sz w:val="20"/>
          <w:szCs w:val="20"/>
          <w:lang w:val="en"/>
        </w:rPr>
        <w:t>The Parties, in addition to the requirements provided for by the legislation of the Russian Federation, shall both personally and through their Authorized Representatives:</w:t>
      </w:r>
    </w:p>
    <w:p w:rsidR="005C27BE" w:rsidRPr="00592DCC" w:rsidRDefault="00592DCC" w:rsidP="00782EC3">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take measures with respect to the Information that exclude its disclosure, at least comparable to the measures taken in relation to its own confidential information;</w:t>
      </w:r>
    </w:p>
    <w:p w:rsidR="005C27BE" w:rsidRPr="00592DCC" w:rsidRDefault="00592DCC"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use, not copy the Information for any purposes other than studying, evaluation and implementation of the Subject of Cooperation (hereinafter referred to as the “</w:t>
      </w:r>
      <w:r w:rsidRPr="003F0F9E">
        <w:rPr>
          <w:rFonts w:cs="Arial"/>
          <w:b/>
          <w:bCs/>
          <w:sz w:val="20"/>
          <w:szCs w:val="20"/>
          <w:lang w:val="en"/>
        </w:rPr>
        <w:t>Purpose</w:t>
      </w:r>
      <w:r w:rsidRPr="003F0F9E">
        <w:rPr>
          <w:rFonts w:cs="Arial"/>
          <w:sz w:val="20"/>
          <w:szCs w:val="20"/>
          <w:lang w:val="en"/>
        </w:rPr>
        <w:t xml:space="preserve">”); </w:t>
      </w:r>
    </w:p>
    <w:p w:rsidR="00B2307E" w:rsidRPr="00592DCC" w:rsidRDefault="00592DCC"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disclose, reproduce, distribute the Information or otherwise provide access to the Information in any form or by any means to any persons, except for the Authorized Recipients of the Party.</w:t>
      </w:r>
    </w:p>
    <w:p w:rsidR="004C3187" w:rsidRPr="00592DCC" w:rsidRDefault="00592DCC" w:rsidP="00446DF0">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lang w:val="en-US"/>
        </w:rPr>
      </w:pPr>
      <w:r>
        <w:rPr>
          <w:rFonts w:cs="Arial"/>
          <w:sz w:val="20"/>
          <w:szCs w:val="20"/>
          <w:lang w:val="en"/>
        </w:rPr>
        <w:t>not transfer the Information via open communication channels and using uncoded information via Internet channels.</w:t>
      </w:r>
    </w:p>
    <w:p w:rsidR="004C3187" w:rsidRPr="00592DCC" w:rsidRDefault="00592DCC"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lang w:val="en-US"/>
        </w:rPr>
      </w:pPr>
      <w:r w:rsidRPr="00446DF0">
        <w:rPr>
          <w:rFonts w:cs="Arial"/>
          <w:sz w:val="20"/>
          <w:lang w:val="en"/>
        </w:rPr>
        <w:t>Secrecy Undertakings shall not apply to the Information that:</w:t>
      </w:r>
    </w:p>
    <w:p w:rsidR="004C3187" w:rsidRPr="00701850" w:rsidRDefault="00592DCC" w:rsidP="004C3187">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ru-RU"/>
        </w:rPr>
      </w:pPr>
      <w:r w:rsidRPr="003F0F9E">
        <w:rPr>
          <w:rFonts w:cs="Arial"/>
          <w:sz w:val="20"/>
          <w:szCs w:val="20"/>
          <w:lang w:val="en"/>
        </w:rPr>
        <w:t>is generally known at the time of its disclosure or publicly available, except in cases of violation of obligations by the Receiving Party or its Authorized Recipients. For the avoidance of doubt, the Parties agreed that:</w:t>
      </w:r>
    </w:p>
    <w:p w:rsidR="004C3187" w:rsidRPr="00592DCC" w:rsidRDefault="00592DCC"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Pr>
          <w:rFonts w:cs="Arial"/>
          <w:sz w:val="20"/>
          <w:szCs w:val="20"/>
          <w:lang w:val="en"/>
        </w:rPr>
        <w:t>- Information may not be considered to be generally known solely on the basis that such information is at the disposal of several persons for whom such Information may be of commercial interest,</w:t>
      </w:r>
    </w:p>
    <w:p w:rsidR="004C3187" w:rsidRPr="00592DCC" w:rsidRDefault="00592DCC"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sidRPr="004A6CFA">
        <w:rPr>
          <w:rFonts w:cs="Arial"/>
          <w:sz w:val="20"/>
          <w:szCs w:val="20"/>
          <w:lang w:val="en"/>
        </w:rPr>
        <w:t>- the availability of open access to certain data related to the Information shall not imply the general availability of any other data related to the Information;</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prior to its disclosure in accordance with the General Terms and Conditions (if the Receiving Party and its Authorized Recipients have relevant evidence); or</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after the moment of disclosure in accordance with the General Terms and Conditions (if the Receiving Party or its Authorized Recipients have relevant evidence) from any persons that are not a Party to the General Terms and Conditions, that have not assumed secrecy undertakings to the Disclosing Party in terms of the above Information;</w:t>
      </w:r>
    </w:p>
    <w:p w:rsidR="004C3187" w:rsidRPr="00592DCC" w:rsidRDefault="00592DCC"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6976E8">
        <w:rPr>
          <w:rFonts w:cs="Arial"/>
          <w:sz w:val="20"/>
          <w:szCs w:val="20"/>
          <w:lang w:val="en"/>
        </w:rPr>
        <w:t>is developed by the Receiving Party or Authorized Recipients independently without using any part of the Information (if the Receiving Party or its Authorized Recipients have relevant substantiated evidence).</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4.3. The Parties may not assign, transfer (including under a subcontract agreement), pledge, encumber or otherwise dispose of the rights and obligations provided for in the General Terms and Conditions (in whole or in part).</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xml:space="preserve">4.4. The Counterparty shall not, without a prior written consent of the Company, disclose (including make public or transfer) to third parties in any way, including in the media and the Internet, any information relating to the Subject of Cooperation and/or the contract, setting out the Counterparty's obligation to comply with the requirements of the General Terms and Conditions (hereinafter referred to as the Contract), as well as information about the </w:t>
      </w:r>
      <w:r w:rsidRPr="007317C3">
        <w:rPr>
          <w:rFonts w:cs="Arial"/>
          <w:sz w:val="20"/>
          <w:szCs w:val="20"/>
          <w:lang w:val="en"/>
        </w:rPr>
        <w:lastRenderedPageBreak/>
        <w:t xml:space="preserve">Enterprise and PJSC SIBUR Holding, its affiliates and/or contractors, as well as their activities, as well as to refer in any way to cooperation with them in relations with any third parties. The Counterparty shall not, without a prior written consent of PJSC "SIBUR Holding", use in any way, including in the domain name and in the Internet, any designations that are identical or confusingly similar to domain names, trademarks, commercial designations, and other means of identification owned by PJSC "SIBUR Holding", or take actions to register such designations in the name of the Counterparty or third parties. </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The following shall not be considered as violations and shall not require coordination with the Company:</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information indicating the general name of the Goods/Work/Services supplied by the Counterparty to the Company, indicating the periods of their supply/performance/provision (without disclosing detailed information, including technical details, details regarding the conditions of transactions, the course of their conclusion and performance, and without any value judgments);</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of information to state bodies upon their request, due to the need for the Counterparty to comply with the requirements of the applicable legal regulations, with the notification of the Company of such provision of information;</w:t>
      </w:r>
    </w:p>
    <w:p w:rsidR="007317C3" w:rsidRPr="00592DCC" w:rsidRDefault="00592DCC"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any information disclosed to the public by the Company, PJSC "SIBUR Holding", and/or its companies by posting on their own websites or in any other way.</w:t>
      </w:r>
    </w:p>
    <w:p w:rsidR="00E13064" w:rsidRPr="00592DCC" w:rsidRDefault="00592DCC" w:rsidP="009879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This clause shall be valid 20 years after the date of termination of the General Terms and Conditions or the Contract, whichever comes later.</w:t>
      </w:r>
    </w:p>
    <w:p w:rsidR="00F44432" w:rsidRPr="00592DCC" w:rsidRDefault="00F44432"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rsidR="005C27BE" w:rsidRPr="003F0F9E"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4" w:name="_DV_M31"/>
      <w:bookmarkStart w:id="15" w:name="_Toc465692979"/>
      <w:bookmarkEnd w:id="14"/>
      <w:r w:rsidRPr="003F0F9E">
        <w:rPr>
          <w:rFonts w:cs="Arial"/>
          <w:b/>
          <w:bCs/>
          <w:caps/>
          <w:sz w:val="20"/>
          <w:szCs w:val="20"/>
          <w:lang w:val="en"/>
        </w:rPr>
        <w:t>RETURN OR DESTRUCTION OF INFORMATION</w:t>
      </w:r>
      <w:bookmarkEnd w:id="15"/>
    </w:p>
    <w:p w:rsidR="001C377E" w:rsidRPr="00592DCC" w:rsidRDefault="00592DCC" w:rsidP="001C377E">
      <w:pPr>
        <w:tabs>
          <w:tab w:val="left" w:pos="482"/>
          <w:tab w:val="left" w:pos="993"/>
          <w:tab w:val="left" w:pos="1440"/>
          <w:tab w:val="left" w:pos="2520"/>
          <w:tab w:val="left" w:pos="3960"/>
          <w:tab w:val="left" w:pos="5760"/>
          <w:tab w:val="left" w:pos="7560"/>
        </w:tabs>
        <w:spacing w:line="288" w:lineRule="auto"/>
        <w:ind w:firstLine="567"/>
        <w:rPr>
          <w:rFonts w:ascii="Arial" w:hAnsi="Arial" w:cs="Arial"/>
          <w:sz w:val="20"/>
          <w:lang w:val="en-US" w:eastAsia="en-US"/>
        </w:rPr>
      </w:pPr>
      <w:r w:rsidRPr="001C377E">
        <w:rPr>
          <w:rFonts w:ascii="Arial" w:hAnsi="Arial" w:cs="Arial"/>
          <w:sz w:val="20"/>
          <w:lang w:val="en" w:eastAsia="en-US"/>
        </w:rPr>
        <w:t>The Receiving Party shall, at its own expense, within ten (10) business days after receiving a written request from the Disclosing Party (except in cases where the Information is the result of the work performed/services rendered and/or is related to goods sold by any Party to another Party):</w:t>
      </w:r>
    </w:p>
    <w:p w:rsidR="005C27BE" w:rsidRPr="00592DCC" w:rsidRDefault="00592DCC" w:rsidP="001C377E">
      <w:pPr>
        <w:pStyle w:val="af0"/>
        <w:numPr>
          <w:ilvl w:val="0"/>
          <w:numId w:val="17"/>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1C377E">
        <w:rPr>
          <w:rFonts w:cs="Arial"/>
          <w:sz w:val="20"/>
          <w:szCs w:val="20"/>
          <w:lang w:val="en"/>
        </w:rPr>
        <w:t>return or destroy all Information provided to the Receiving Party and its Authorized Recipients in writing;</w:t>
      </w:r>
    </w:p>
    <w:p w:rsidR="005C27BE" w:rsidRPr="00592DCC" w:rsidRDefault="00592DCC" w:rsidP="001C377E">
      <w:pPr>
        <w:pStyle w:val="af0"/>
        <w:numPr>
          <w:ilvl w:val="2"/>
          <w:numId w:val="8"/>
        </w:numPr>
        <w:tabs>
          <w:tab w:val="left" w:pos="426"/>
          <w:tab w:val="left" w:pos="993"/>
          <w:tab w:val="left" w:pos="1418"/>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destroy all processing, compilation or research results, notes and other documents prepared by the Receiving Party or its Authorized Recipients, containing or reflecting the Information. The Receiving Party and its Authorized Recipients may retain a copy of any part of the Information in cases where this is required by law, a court, state authority requirement, provided that this does not violate the secrecy undertakings of such for Information and subject to proper data backup;</w:t>
      </w:r>
    </w:p>
    <w:p w:rsidR="005C27BE" w:rsidRPr="00592DCC" w:rsidRDefault="00592DCC" w:rsidP="00782EC3">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if possible, delete or ensure deletion of the Information stored on computers, word processing systems and any other devices held, stored or under control of the Receiving Party and/or of its Authorized Recipients (provided that the Parties acknowledge and confirm that the removal, without the possibility of restoration by the Receiving Party and/or its Authorized Recipients, of any Information created by automatic archiving and data backup is impossible); and</w:t>
      </w:r>
    </w:p>
    <w:p w:rsidR="00123F78" w:rsidRPr="00592DCC" w:rsidRDefault="00592DCC" w:rsidP="00123F78">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confirm that all the requirements provided for in </w:t>
      </w:r>
      <w:r w:rsidR="00D627B5">
        <w:rPr>
          <w:rFonts w:cs="Arial"/>
          <w:sz w:val="20"/>
          <w:szCs w:val="20"/>
          <w:lang w:val="en"/>
        </w:rPr>
        <w:t>S</w:t>
      </w:r>
      <w:r>
        <w:rPr>
          <w:rFonts w:cs="Arial"/>
          <w:sz w:val="20"/>
          <w:szCs w:val="20"/>
          <w:lang w:val="en"/>
        </w:rPr>
        <w:t xml:space="preserve">ection five (5) have been fully met. </w:t>
      </w:r>
    </w:p>
    <w:p w:rsidR="002635F8" w:rsidRPr="00592DCC" w:rsidRDefault="002635F8" w:rsidP="00782EC3">
      <w:pPr>
        <w:pStyle w:val="af0"/>
        <w:tabs>
          <w:tab w:val="left" w:pos="482"/>
          <w:tab w:val="left" w:pos="851"/>
          <w:tab w:val="left" w:pos="1440"/>
          <w:tab w:val="left" w:pos="2520"/>
          <w:tab w:val="left" w:pos="3960"/>
          <w:tab w:val="left" w:pos="5760"/>
          <w:tab w:val="left" w:pos="7560"/>
        </w:tabs>
        <w:spacing w:line="288" w:lineRule="auto"/>
        <w:ind w:left="0" w:firstLine="567"/>
        <w:rPr>
          <w:rFonts w:cs="Arial"/>
          <w:sz w:val="20"/>
          <w:szCs w:val="20"/>
          <w:lang w:val="en-US"/>
        </w:rPr>
      </w:pPr>
    </w:p>
    <w:p w:rsidR="005C27BE" w:rsidRPr="004574BA"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6" w:name="_Toc465692981"/>
      <w:r w:rsidRPr="004574BA">
        <w:rPr>
          <w:rFonts w:cs="Arial"/>
          <w:b/>
          <w:bCs/>
          <w:caps/>
          <w:sz w:val="20"/>
          <w:szCs w:val="20"/>
          <w:lang w:val="en"/>
        </w:rPr>
        <w:t>NOTICES</w:t>
      </w:r>
      <w:bookmarkEnd w:id="16"/>
    </w:p>
    <w:p w:rsidR="005C27BE" w:rsidRPr="00592DCC"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4574BA">
        <w:rPr>
          <w:rFonts w:cs="Arial"/>
          <w:sz w:val="20"/>
          <w:szCs w:val="20"/>
          <w:lang w:val="en"/>
        </w:rPr>
        <w:t>Any notices, claims or complaints related to the General Terms and Conditions (hereinafter referred to as "</w:t>
      </w:r>
      <w:r w:rsidRPr="004574BA">
        <w:rPr>
          <w:rFonts w:cs="Arial"/>
          <w:b/>
          <w:bCs/>
          <w:sz w:val="20"/>
          <w:szCs w:val="20"/>
          <w:lang w:val="en"/>
        </w:rPr>
        <w:t>Notices</w:t>
      </w:r>
      <w:r w:rsidRPr="004574BA">
        <w:rPr>
          <w:rFonts w:cs="Arial"/>
          <w:sz w:val="20"/>
          <w:szCs w:val="20"/>
          <w:lang w:val="en"/>
        </w:rPr>
        <w:t xml:space="preserve">") shall be made in writing and sent to the relevant Party at the address specified in Appendix No. 1 to the General Terms and Conditions (or to any other address, including the e-mail address, of which such Party will subsequently inform the other Party in writing). </w:t>
      </w:r>
    </w:p>
    <w:p w:rsidR="005C27BE" w:rsidRPr="004574BA" w:rsidRDefault="00592DCC"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rPr>
      </w:pPr>
      <w:bookmarkStart w:id="17" w:name="_Ref466276089"/>
      <w:r w:rsidRPr="004574BA">
        <w:rPr>
          <w:rFonts w:cs="Arial"/>
          <w:sz w:val="20"/>
          <w:szCs w:val="20"/>
          <w:lang w:val="en"/>
        </w:rPr>
        <w:t>Notices may be:</w:t>
      </w:r>
      <w:bookmarkEnd w:id="17"/>
    </w:p>
    <w:p w:rsidR="005C27BE" w:rsidRPr="004574BA" w:rsidRDefault="00592DCC"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ru-RU"/>
        </w:rPr>
      </w:pPr>
      <w:bookmarkStart w:id="18" w:name="_Ref466276106"/>
      <w:r w:rsidRPr="004574BA">
        <w:rPr>
          <w:rFonts w:cs="Arial"/>
          <w:sz w:val="20"/>
          <w:szCs w:val="20"/>
          <w:lang w:val="en"/>
        </w:rPr>
        <w:t>delivered personally;</w:t>
      </w:r>
      <w:bookmarkEnd w:id="18"/>
    </w:p>
    <w:p w:rsidR="005C27BE" w:rsidRPr="00592DCC" w:rsidRDefault="00592DCC"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9" w:name="_Ref466276097"/>
      <w:r w:rsidRPr="004574BA">
        <w:rPr>
          <w:rFonts w:cs="Arial"/>
          <w:sz w:val="20"/>
          <w:szCs w:val="20"/>
          <w:lang w:val="en"/>
        </w:rPr>
        <w:t>sent by electronic message by e-mail;</w:t>
      </w:r>
      <w:bookmarkEnd w:id="19"/>
      <w:r w:rsidRPr="004574BA">
        <w:rPr>
          <w:rFonts w:cs="Arial"/>
          <w:sz w:val="20"/>
          <w:szCs w:val="20"/>
          <w:lang w:val="en"/>
        </w:rPr>
        <w:t xml:space="preserve"> </w:t>
      </w:r>
    </w:p>
    <w:p w:rsidR="00123F78" w:rsidRPr="00592DCC" w:rsidRDefault="00592DCC" w:rsidP="00123F78">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20" w:name="_Ref466276119"/>
      <w:r w:rsidRPr="004574BA">
        <w:rPr>
          <w:rFonts w:cs="Arial"/>
          <w:sz w:val="20"/>
          <w:szCs w:val="20"/>
          <w:lang w:val="en"/>
        </w:rPr>
        <w:t>sent by the courier delivery service</w:t>
      </w:r>
      <w:bookmarkEnd w:id="20"/>
      <w:r w:rsidRPr="004574BA">
        <w:rPr>
          <w:rFonts w:cs="Arial"/>
          <w:sz w:val="20"/>
          <w:szCs w:val="20"/>
          <w:lang w:val="en"/>
        </w:rPr>
        <w:t>.</w:t>
      </w:r>
    </w:p>
    <w:p w:rsidR="005C27BE" w:rsidRPr="00592DCC" w:rsidRDefault="00592DCC" w:rsidP="00123F78">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23F78">
        <w:rPr>
          <w:rFonts w:cs="Arial"/>
          <w:sz w:val="20"/>
          <w:lang w:val="en"/>
        </w:rPr>
        <w:t>The notice shall be considered delivered at the time of its receipt, regardless of the method of sending.</w:t>
      </w:r>
    </w:p>
    <w:p w:rsidR="001C377E" w:rsidRPr="00592DCC" w:rsidRDefault="00592DCC" w:rsidP="001C377E">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C377E">
        <w:rPr>
          <w:rFonts w:cs="Arial"/>
          <w:sz w:val="20"/>
          <w:lang w:val="en"/>
        </w:rPr>
        <w:t>The Receiving Party shall immediately notify the Disclosing Party of the facts of disclosure of Information to third parties (at the same time, such notification of the Disclosing Party shall not release the Receiving Party from its obligations to comply with the Confidentiality Mode with respect to such Information).</w:t>
      </w:r>
    </w:p>
    <w:p w:rsidR="002635F8" w:rsidRPr="00592DCC" w:rsidRDefault="002635F8" w:rsidP="0031387F">
      <w:pPr>
        <w:tabs>
          <w:tab w:val="left" w:pos="482"/>
          <w:tab w:val="left" w:pos="851"/>
          <w:tab w:val="left" w:pos="1440"/>
          <w:tab w:val="left" w:pos="2520"/>
          <w:tab w:val="left" w:pos="3960"/>
          <w:tab w:val="left" w:pos="5760"/>
          <w:tab w:val="left" w:pos="7560"/>
        </w:tabs>
        <w:spacing w:line="288" w:lineRule="auto"/>
        <w:rPr>
          <w:rFonts w:cs="Arial"/>
          <w:sz w:val="20"/>
          <w:lang w:val="en-US"/>
        </w:rPr>
      </w:pPr>
    </w:p>
    <w:p w:rsidR="005C27BE" w:rsidRPr="00592DCC"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lang w:val="en-US"/>
        </w:rPr>
      </w:pPr>
      <w:bookmarkStart w:id="21" w:name="_Toc465692984"/>
      <w:r w:rsidRPr="003F0F9E">
        <w:rPr>
          <w:rFonts w:cs="Arial"/>
          <w:b/>
          <w:bCs/>
          <w:caps/>
          <w:sz w:val="20"/>
          <w:szCs w:val="20"/>
          <w:lang w:val="en"/>
        </w:rPr>
        <w:lastRenderedPageBreak/>
        <w:t xml:space="preserve">COMPLETION OF NEGOTIATIONS. VALIDITY </w:t>
      </w:r>
      <w:bookmarkEnd w:id="21"/>
      <w:r w:rsidRPr="003F0F9E">
        <w:rPr>
          <w:rFonts w:cs="Arial"/>
          <w:b/>
          <w:bCs/>
          <w:caps/>
          <w:sz w:val="20"/>
          <w:szCs w:val="20"/>
          <w:lang w:val="en"/>
        </w:rPr>
        <w:t>PERIOD OF THE GENERAL TERMS AND CONDITIONS</w:t>
      </w:r>
    </w:p>
    <w:p w:rsidR="005C27BE" w:rsidRPr="00592DCC" w:rsidRDefault="00592DCC"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If a Party makes a decision to refuse further negotiations with the other Party regarding the Subject of Cooperation, such Party shall immediately notify the other Party thereof in writing.</w:t>
      </w:r>
    </w:p>
    <w:p w:rsidR="005C27BE" w:rsidRPr="00592DCC" w:rsidRDefault="00592DCC" w:rsidP="00562212">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562212">
        <w:rPr>
          <w:rFonts w:cs="Arial"/>
          <w:sz w:val="20"/>
          <w:szCs w:val="20"/>
          <w:lang w:val="en"/>
        </w:rPr>
        <w:t>The General Terms and Conditions shall come into force for the Parties on the date of the Counterparty joining them by signing and sending the Notice of Adherence to the General Terms and Conditions to the relevant Company or by signing the Agreement containing provisions on joining the General Terms and Conditions (hereinafter referred to as the "Effective Date") and remain in effect for three (3) years, unless otherwise provided in the Notice of Adherence. The secrecy undertakings shall remain in force and effect for the Parties for three (3) years from the date of termination of the General Terms and Conditions.</w:t>
      </w:r>
    </w:p>
    <w:p w:rsidR="002635F8" w:rsidRPr="00592DCC" w:rsidRDefault="00592DCC"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The General Terms and Conditions shall apply retrospectively (be retroactive) to the Information communicated to the Receiving Party to achieve the Purpose before the Effective Date. </w:t>
      </w:r>
    </w:p>
    <w:p w:rsidR="001B591F" w:rsidRPr="00592DCC" w:rsidRDefault="00592DCC" w:rsidP="00562212">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szCs w:val="20"/>
          <w:lang w:val="en-US"/>
        </w:rPr>
      </w:pPr>
      <w:r>
        <w:rPr>
          <w:rFonts w:cs="Arial"/>
          <w:noProof/>
          <w:sz w:val="20"/>
          <w:szCs w:val="20"/>
          <w:lang w:val="ru-RU" w:eastAsia="ru-RU"/>
        </w:rPr>
        <mc:AlternateContent>
          <mc:Choice Requires="wps">
            <w:drawing>
              <wp:anchor distT="0" distB="0" distL="114300" distR="114300" simplePos="0" relativeHeight="251658240" behindDoc="0" locked="0" layoutInCell="1" allowOverlap="1">
                <wp:simplePos x="0" y="0"/>
                <wp:positionH relativeFrom="column">
                  <wp:posOffset>5124450</wp:posOffset>
                </wp:positionH>
                <wp:positionV relativeFrom="paragraph">
                  <wp:posOffset>204470</wp:posOffset>
                </wp:positionV>
                <wp:extent cx="207034" cy="126521"/>
                <wp:effectExtent l="0" t="19050" r="40640" b="45085"/>
                <wp:wrapNone/>
                <wp:docPr id="3" name="Стрелка вправо 3"/>
                <wp:cNvGraphicFramePr/>
                <a:graphic xmlns:a="http://schemas.openxmlformats.org/drawingml/2006/main">
                  <a:graphicData uri="http://schemas.microsoft.com/office/word/2010/wordprocessingShape">
                    <wps:wsp>
                      <wps:cNvSpPr/>
                      <wps:spPr>
                        <a:xfrm>
                          <a:off x="0" y="0"/>
                          <a:ext cx="207034" cy="126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2C322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403.5pt;margin-top:16.1pt;width:16.3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" adj="15000" fillcolor="#4f81bd [3204]" strokecolor="#243f60 [1604]" strokeweight="2pt"/>
            </w:pict>
          </mc:Fallback>
        </mc:AlternateContent>
      </w:r>
      <w:r w:rsidR="008A46FE">
        <w:rPr>
          <w:rFonts w:cs="Arial"/>
          <w:sz w:val="20"/>
          <w:szCs w:val="20"/>
          <w:lang w:val="en"/>
        </w:rPr>
        <w:t xml:space="preserve">Changes to the General Terms and Conditions may be made unilaterally by the Company by posting the updated version on the website: </w:t>
      </w:r>
      <w:hyperlink r:id="rId12" w:history="1">
        <w:r w:rsidR="005F0F58" w:rsidRPr="00114C00">
          <w:rPr>
            <w:rStyle w:val="ab"/>
            <w:rFonts w:cs="Arial"/>
            <w:sz w:val="20"/>
            <w:szCs w:val="20"/>
            <w:lang w:val="en"/>
          </w:rPr>
          <w:t>https://www.sibur.ru</w:t>
        </w:r>
      </w:hyperlink>
      <w:r w:rsidR="008A46FE">
        <w:rPr>
          <w:rFonts w:cs="Arial"/>
          <w:sz w:val="20"/>
          <w:szCs w:val="20"/>
          <w:lang w:val="en"/>
        </w:rPr>
        <w:t xml:space="preserve">        Section "About the Company"          Subsection "SIBUR Contractual terms" </w:t>
      </w:r>
      <w:r>
        <w:rPr>
          <w:rFonts w:cs="Arial"/>
          <w:noProof/>
          <w:sz w:val="20"/>
          <w:szCs w:val="20"/>
          <w:lang w:val="ru-RU" w:eastAsia="ru-RU"/>
        </w:rPr>
        <w:drawing>
          <wp:inline distT="0" distB="0" distL="0" distR="0">
            <wp:extent cx="237490" cy="189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13857"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490" cy="189230"/>
                    </a:xfrm>
                    <a:prstGeom prst="rect">
                      <a:avLst/>
                    </a:prstGeom>
                    <a:noFill/>
                  </pic:spPr>
                </pic:pic>
              </a:graphicData>
            </a:graphic>
          </wp:inline>
        </w:drawing>
      </w:r>
      <w:r w:rsidR="008A46FE">
        <w:rPr>
          <w:rFonts w:cs="Arial"/>
          <w:sz w:val="20"/>
          <w:szCs w:val="20"/>
          <w:lang w:val="en"/>
        </w:rPr>
        <w:t xml:space="preserve">   "General terms and conditions of confidentiality of SIBUR Group of Companies". The changes shall take effect from the moment the new version of the General Terms and Conditions is posted on the website, in the corresponding section. </w:t>
      </w:r>
    </w:p>
    <w:p w:rsidR="00F44432" w:rsidRPr="00592DCC" w:rsidRDefault="00F44432" w:rsidP="00F44432">
      <w:pPr>
        <w:pStyle w:val="af0"/>
        <w:tabs>
          <w:tab w:val="left" w:pos="482"/>
          <w:tab w:val="left" w:pos="1134"/>
          <w:tab w:val="left" w:pos="2520"/>
          <w:tab w:val="left" w:pos="3960"/>
          <w:tab w:val="left" w:pos="5760"/>
          <w:tab w:val="left" w:pos="7560"/>
        </w:tabs>
        <w:spacing w:line="288" w:lineRule="auto"/>
        <w:ind w:left="567"/>
        <w:rPr>
          <w:rFonts w:cs="Arial"/>
          <w:sz w:val="20"/>
          <w:szCs w:val="20"/>
          <w:lang w:val="en-US"/>
        </w:rPr>
      </w:pPr>
    </w:p>
    <w:p w:rsidR="005C27BE" w:rsidRPr="003E4955" w:rsidRDefault="00592DCC"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shd w:val="pct15" w:color="auto" w:fill="FFFFFF"/>
          <w:lang w:val="ru-RU"/>
        </w:rPr>
      </w:pPr>
      <w:bookmarkStart w:id="22" w:name="_Toc465692992"/>
      <w:r w:rsidRPr="003F0F9E">
        <w:rPr>
          <w:rFonts w:cs="Arial"/>
          <w:b/>
          <w:bCs/>
          <w:caps/>
          <w:sz w:val="20"/>
          <w:szCs w:val="20"/>
          <w:lang w:val="en"/>
        </w:rPr>
        <w:t>APPLICABLE LAW</w:t>
      </w:r>
      <w:bookmarkEnd w:id="22"/>
      <w:r w:rsidRPr="003F0F9E">
        <w:rPr>
          <w:rFonts w:cs="Arial"/>
          <w:b/>
          <w:bCs/>
          <w:caps/>
          <w:sz w:val="20"/>
          <w:szCs w:val="20"/>
          <w:lang w:val="en"/>
        </w:rPr>
        <w:t xml:space="preserve"> AND DISPUTE RESOLUTION</w:t>
      </w:r>
    </w:p>
    <w:p w:rsidR="003B099D" w:rsidRPr="00592DCC" w:rsidRDefault="00592DCC"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4AC0">
        <w:rPr>
          <w:rFonts w:cs="Arial"/>
          <w:sz w:val="20"/>
          <w:szCs w:val="20"/>
          <w:lang w:val="en"/>
        </w:rPr>
        <w:t>The General Terms and Conditions and any extra-contractual obligations arising out of the Terms and Conditions or in connection therewith shall be governed and shall be subject to interpretation in accordance with the legislation of the Russian Federation.</w:t>
      </w:r>
    </w:p>
    <w:p w:rsidR="00C274A8" w:rsidRPr="00592DCC" w:rsidRDefault="00592DCC"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bookmarkStart w:id="23" w:name="_DV_M54"/>
      <w:bookmarkStart w:id="24" w:name="_DV_M56"/>
      <w:bookmarkEnd w:id="23"/>
      <w:bookmarkEnd w:id="24"/>
      <w:r w:rsidRPr="003F0F9E">
        <w:rPr>
          <w:rFonts w:cs="Arial"/>
          <w:sz w:val="20"/>
          <w:szCs w:val="20"/>
          <w:lang w:val="en"/>
        </w:rPr>
        <w:t xml:space="preserve">All disputes arising from or in connection with the Terms and Conditions shall be resolved by the Parties in the Arbitration Court at the location of the plaintiff. </w:t>
      </w:r>
    </w:p>
    <w:p w:rsidR="00BA48F7" w:rsidRPr="00592DCC" w:rsidRDefault="00592DCC" w:rsidP="00F44432">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3F0F9E">
        <w:rPr>
          <w:rFonts w:cs="Arial"/>
          <w:sz w:val="20"/>
          <w:szCs w:val="20"/>
          <w:lang w:val="en"/>
        </w:rPr>
        <w:t>Prior to submission of a dispute to a commercial court, a Claim shall be filed with the supporting documents. The term of consideration of the Claim shall not exceed thirty (30) days from the date of its receipt.</w:t>
      </w:r>
      <w:bookmarkStart w:id="25" w:name="Cell_Ins"/>
      <w:bookmarkStart w:id="26" w:name="Cell_Del"/>
      <w:bookmarkStart w:id="27" w:name="Cell_Move"/>
      <w:bookmarkStart w:id="28" w:name="Cell_Merge"/>
      <w:bookmarkStart w:id="29" w:name="Cell_Pad"/>
      <w:bookmarkEnd w:id="25"/>
      <w:bookmarkEnd w:id="26"/>
      <w:bookmarkEnd w:id="27"/>
      <w:bookmarkEnd w:id="28"/>
      <w:bookmarkEnd w:id="29"/>
    </w:p>
    <w:p w:rsidR="00F44432" w:rsidRPr="00592DCC" w:rsidRDefault="00F44432" w:rsidP="00F44432">
      <w:pPr>
        <w:pStyle w:val="af0"/>
        <w:tabs>
          <w:tab w:val="left" w:pos="482"/>
          <w:tab w:val="left" w:pos="1134"/>
          <w:tab w:val="left" w:pos="1440"/>
          <w:tab w:val="left" w:pos="2520"/>
          <w:tab w:val="left" w:pos="3960"/>
          <w:tab w:val="left" w:pos="5760"/>
          <w:tab w:val="left" w:pos="7560"/>
        </w:tabs>
        <w:spacing w:after="0" w:line="288" w:lineRule="auto"/>
        <w:ind w:left="567"/>
        <w:rPr>
          <w:rFonts w:cs="Arial"/>
          <w:sz w:val="20"/>
          <w:szCs w:val="20"/>
          <w:lang w:val="en-US"/>
        </w:rPr>
      </w:pPr>
    </w:p>
    <w:p w:rsidR="00C27371" w:rsidRPr="00592DCC" w:rsidRDefault="00592DCC" w:rsidP="00C27371">
      <w:pPr>
        <w:pStyle w:val="af0"/>
        <w:numPr>
          <w:ilvl w:val="0"/>
          <w:numId w:val="8"/>
        </w:numPr>
        <w:tabs>
          <w:tab w:val="left" w:pos="482"/>
          <w:tab w:val="left" w:pos="851"/>
          <w:tab w:val="left" w:pos="1440"/>
          <w:tab w:val="left" w:pos="2520"/>
          <w:tab w:val="left" w:pos="3960"/>
          <w:tab w:val="left" w:pos="5760"/>
          <w:tab w:val="left" w:pos="7560"/>
        </w:tabs>
        <w:spacing w:before="240" w:line="288" w:lineRule="auto"/>
        <w:rPr>
          <w:rFonts w:cs="Arial"/>
          <w:b/>
          <w:bCs/>
          <w:caps/>
          <w:sz w:val="20"/>
          <w:szCs w:val="20"/>
          <w:lang w:val="en-US"/>
        </w:rPr>
      </w:pPr>
      <w:r>
        <w:rPr>
          <w:rFonts w:cs="Arial"/>
          <w:b/>
          <w:bCs/>
          <w:caps/>
          <w:sz w:val="20"/>
          <w:szCs w:val="20"/>
          <w:lang w:val="en"/>
        </w:rPr>
        <w:t>REPRESENTATIONS AND WARRANTIES OF THE PARTIES</w:t>
      </w:r>
    </w:p>
    <w:p w:rsidR="00C27371" w:rsidRPr="00592DCC" w:rsidRDefault="00592DCC" w:rsidP="00C27371">
      <w:pPr>
        <w:pStyle w:val="af0"/>
        <w:numPr>
          <w:ilvl w:val="1"/>
          <w:numId w:val="8"/>
        </w:numPr>
        <w:tabs>
          <w:tab w:val="left" w:pos="482"/>
          <w:tab w:val="left" w:pos="709"/>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Parties represent and warrant to each other that each of the Parties at the time of adhering to the Terms and Conditions</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is a legal entity duly established and existing in accordance with the applicable legislation or an individual entrepreneur registered and existing in accordance with the applicable legislation;</w:t>
      </w:r>
    </w:p>
    <w:p w:rsidR="00C27371" w:rsidRPr="00592DCC" w:rsidRDefault="00592DCC" w:rsidP="00562212">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562212">
        <w:rPr>
          <w:rFonts w:cs="Arial"/>
          <w:sz w:val="20"/>
          <w:szCs w:val="20"/>
          <w:lang w:val="en"/>
        </w:rPr>
        <w:t>a representative signing the Notice of Adherence to the General Terms and Conditions or the Agreement containing provisions on joining the General Terms and Conditions on its behalf has all necessary powers to do so;</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acceptance and fulfillment of obligations under the General Terms and Conditions shall not entail a violation of any of the provisions of the constitutional documents, the corporate contract and the internal enactments of the Party;</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obligations set forth in the General Terms and Conditions are valid for it, legal and, in the event of non-performance, may be enforced; </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adherence to the General Terms and Conditions shall not violate any of its obligations to third parties; </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all necessary corporate approvals of governing bodies required for adherence to the Terms and Conditions have been obtained</w:t>
      </w:r>
    </w:p>
    <w:p w:rsidR="00C27371" w:rsidRPr="00592DCC" w:rsidRDefault="00592DCC"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33DBA">
        <w:rPr>
          <w:rFonts w:cs="Arial"/>
          <w:sz w:val="20"/>
          <w:szCs w:val="20"/>
          <w:lang w:val="en"/>
        </w:rPr>
        <w:t xml:space="preserve">are not competitors, that is, economic entities that sell goods in the same commodity market where the Parties have concluded, conclude or subsequently will conclude civil law transactions and in connection with which the Parties adhere to the General Terms and Conditions.        </w:t>
      </w:r>
    </w:p>
    <w:p w:rsidR="00C27371" w:rsidRPr="00592DCC" w:rsidRDefault="00592DCC" w:rsidP="00F44432">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46DF0">
        <w:rPr>
          <w:rFonts w:cs="Arial"/>
          <w:sz w:val="20"/>
          <w:szCs w:val="20"/>
          <w:lang w:val="en"/>
        </w:rPr>
        <w:t xml:space="preserve">The representations and warranties set forth in </w:t>
      </w:r>
      <w:r w:rsidR="004B48E0">
        <w:rPr>
          <w:rFonts w:cs="Arial"/>
          <w:sz w:val="20"/>
          <w:szCs w:val="20"/>
          <w:lang w:val="en-US"/>
        </w:rPr>
        <w:t xml:space="preserve">this </w:t>
      </w:r>
      <w:r w:rsidR="004B48E0">
        <w:rPr>
          <w:rFonts w:cs="Arial"/>
          <w:sz w:val="20"/>
          <w:szCs w:val="20"/>
          <w:lang w:val="en"/>
        </w:rPr>
        <w:t xml:space="preserve">Section </w:t>
      </w:r>
      <w:r w:rsidRPr="00446DF0">
        <w:rPr>
          <w:rFonts w:cs="Arial"/>
          <w:sz w:val="20"/>
          <w:szCs w:val="20"/>
          <w:lang w:val="en"/>
        </w:rPr>
        <w:t>are and shall remain reliable and accurate throughout the period for which the Parties accept the Terms and Conditions, and such representations and warranties shall be deemed to be essential for each Party. Each of the Parties shall rely on them when accepting the Terms and Conditions; the unreliability or violation of such representations shall be recognized as a material violation of the General Terms and Conditions. In case where representations and warranties are unreliable, the Party that provided unreliable representations and warranties shall reimburse the other Party for all losses incurred in connection with such unreliability.</w:t>
      </w:r>
    </w:p>
    <w:sectPr w:rsidR="00C27371" w:rsidRPr="00592DCC" w:rsidSect="00F46470">
      <w:headerReference w:type="even" r:id="rId14"/>
      <w:headerReference w:type="default" r:id="rId15"/>
      <w:footerReference w:type="default" r:id="rId16"/>
      <w:headerReference w:type="first" r:id="rId17"/>
      <w:footerReference w:type="firs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C7" w:rsidRDefault="005909C7">
      <w:pPr>
        <w:spacing w:before="0"/>
      </w:pPr>
      <w:r>
        <w:separator/>
      </w:r>
    </w:p>
  </w:endnote>
  <w:endnote w:type="continuationSeparator" w:id="0">
    <w:p w:rsidR="005909C7" w:rsidRDefault="005909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pPr>
      <w:pStyle w:val="a9"/>
      <w:jc w:val="center"/>
    </w:pPr>
    <w:r>
      <w:fldChar w:fldCharType="begin"/>
    </w:r>
    <w:r>
      <w:instrText>PAGE   \* MERGEFORMAT</w:instrText>
    </w:r>
    <w:r>
      <w:fldChar w:fldCharType="separate"/>
    </w:r>
    <w:r w:rsidR="00FC3BA0">
      <w:rPr>
        <w:noProof/>
      </w:rPr>
      <w:t>1</w:t>
    </w:r>
    <w:r>
      <w:fldChar w:fldCharType="end"/>
    </w:r>
  </w:p>
  <w:p w:rsidR="00677617" w:rsidRDefault="006776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pPr>
      <w:pStyle w:val="a9"/>
      <w:jc w:val="center"/>
    </w:pPr>
    <w:r>
      <w:fldChar w:fldCharType="begin"/>
    </w:r>
    <w:r>
      <w:instrText>PAGE   \* MERGEFORMAT</w:instrText>
    </w:r>
    <w:r>
      <w:fldChar w:fldCharType="separate"/>
    </w:r>
    <w:r>
      <w:rPr>
        <w:noProof/>
      </w:rPr>
      <w:t>1</w:t>
    </w:r>
    <w:r>
      <w:fldChar w:fldCharType="end"/>
    </w:r>
  </w:p>
  <w:p w:rsidR="00677617" w:rsidRDefault="006776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C7" w:rsidRDefault="005909C7">
      <w:pPr>
        <w:spacing w:before="0"/>
      </w:pPr>
      <w:r>
        <w:separator/>
      </w:r>
    </w:p>
  </w:footnote>
  <w:footnote w:type="continuationSeparator" w:id="0">
    <w:p w:rsidR="005909C7" w:rsidRDefault="005909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rsidP="00BA48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77617" w:rsidRDefault="006776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Pr="008F1D4D" w:rsidRDefault="00677617" w:rsidP="008F1D4D">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17" w:rsidRDefault="00592DCC" w:rsidP="00B00DE3">
    <w:pPr>
      <w:pStyle w:val="a6"/>
      <w:jc w:val="right"/>
    </w:pPr>
    <w:r w:rsidRPr="001B3FCB">
      <w:rPr>
        <w:szCs w:val="24"/>
        <w:lang w:val="en"/>
      </w:rPr>
      <w:t>ЕУФ_Д_12_13_01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305114"/>
    <w:lvl w:ilvl="0">
      <w:start w:val="1"/>
      <w:numFmt w:val="decimal"/>
      <w:pStyle w:val="3"/>
      <w:lvlText w:val="%1."/>
      <w:lvlJc w:val="left"/>
      <w:pPr>
        <w:tabs>
          <w:tab w:val="num" w:pos="926"/>
        </w:tabs>
        <w:ind w:left="926" w:hanging="360"/>
      </w:pPr>
    </w:lvl>
  </w:abstractNum>
  <w:abstractNum w:abstractNumId="1" w15:restartNumberingAfterBreak="0">
    <w:nsid w:val="007422A6"/>
    <w:multiLevelType w:val="multilevel"/>
    <w:tmpl w:val="78C49808"/>
    <w:name w:val="CobbNumbering3"/>
    <w:lvl w:ilvl="0">
      <w:start w:val="1"/>
      <w:numFmt w:val="decimal"/>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pStyle w:val="FWBL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FWBL3"/>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pStyle w:val="FWBL4"/>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 w15:restartNumberingAfterBreak="0">
    <w:nsid w:val="010966EC"/>
    <w:multiLevelType w:val="hybridMultilevel"/>
    <w:tmpl w:val="D75A2BFE"/>
    <w:lvl w:ilvl="0" w:tplc="CC6A7754">
      <w:start w:val="1"/>
      <w:numFmt w:val="bullet"/>
      <w:lvlText w:val=""/>
      <w:lvlJc w:val="left"/>
      <w:pPr>
        <w:ind w:left="1440" w:hanging="360"/>
      </w:pPr>
      <w:rPr>
        <w:rFonts w:ascii="Wingdings" w:hAnsi="Wingdings" w:hint="default"/>
      </w:rPr>
    </w:lvl>
    <w:lvl w:ilvl="1" w:tplc="31E46A4A" w:tentative="1">
      <w:start w:val="1"/>
      <w:numFmt w:val="bullet"/>
      <w:lvlText w:val="o"/>
      <w:lvlJc w:val="left"/>
      <w:pPr>
        <w:ind w:left="2160" w:hanging="360"/>
      </w:pPr>
      <w:rPr>
        <w:rFonts w:ascii="Courier New" w:hAnsi="Courier New" w:cs="Courier New" w:hint="default"/>
      </w:rPr>
    </w:lvl>
    <w:lvl w:ilvl="2" w:tplc="26C6D452" w:tentative="1">
      <w:start w:val="1"/>
      <w:numFmt w:val="bullet"/>
      <w:lvlText w:val=""/>
      <w:lvlJc w:val="left"/>
      <w:pPr>
        <w:ind w:left="2880" w:hanging="360"/>
      </w:pPr>
      <w:rPr>
        <w:rFonts w:ascii="Wingdings" w:hAnsi="Wingdings" w:hint="default"/>
      </w:rPr>
    </w:lvl>
    <w:lvl w:ilvl="3" w:tplc="0CFC9B1E" w:tentative="1">
      <w:start w:val="1"/>
      <w:numFmt w:val="bullet"/>
      <w:lvlText w:val=""/>
      <w:lvlJc w:val="left"/>
      <w:pPr>
        <w:ind w:left="3600" w:hanging="360"/>
      </w:pPr>
      <w:rPr>
        <w:rFonts w:ascii="Symbol" w:hAnsi="Symbol" w:hint="default"/>
      </w:rPr>
    </w:lvl>
    <w:lvl w:ilvl="4" w:tplc="5358BF22" w:tentative="1">
      <w:start w:val="1"/>
      <w:numFmt w:val="bullet"/>
      <w:lvlText w:val="o"/>
      <w:lvlJc w:val="left"/>
      <w:pPr>
        <w:ind w:left="4320" w:hanging="360"/>
      </w:pPr>
      <w:rPr>
        <w:rFonts w:ascii="Courier New" w:hAnsi="Courier New" w:cs="Courier New" w:hint="default"/>
      </w:rPr>
    </w:lvl>
    <w:lvl w:ilvl="5" w:tplc="ED265E44" w:tentative="1">
      <w:start w:val="1"/>
      <w:numFmt w:val="bullet"/>
      <w:lvlText w:val=""/>
      <w:lvlJc w:val="left"/>
      <w:pPr>
        <w:ind w:left="5040" w:hanging="360"/>
      </w:pPr>
      <w:rPr>
        <w:rFonts w:ascii="Wingdings" w:hAnsi="Wingdings" w:hint="default"/>
      </w:rPr>
    </w:lvl>
    <w:lvl w:ilvl="6" w:tplc="ADFADA1E" w:tentative="1">
      <w:start w:val="1"/>
      <w:numFmt w:val="bullet"/>
      <w:lvlText w:val=""/>
      <w:lvlJc w:val="left"/>
      <w:pPr>
        <w:ind w:left="5760" w:hanging="360"/>
      </w:pPr>
      <w:rPr>
        <w:rFonts w:ascii="Symbol" w:hAnsi="Symbol" w:hint="default"/>
      </w:rPr>
    </w:lvl>
    <w:lvl w:ilvl="7" w:tplc="3EA8464C" w:tentative="1">
      <w:start w:val="1"/>
      <w:numFmt w:val="bullet"/>
      <w:lvlText w:val="o"/>
      <w:lvlJc w:val="left"/>
      <w:pPr>
        <w:ind w:left="6480" w:hanging="360"/>
      </w:pPr>
      <w:rPr>
        <w:rFonts w:ascii="Courier New" w:hAnsi="Courier New" w:cs="Courier New" w:hint="default"/>
      </w:rPr>
    </w:lvl>
    <w:lvl w:ilvl="8" w:tplc="35BCBCF8" w:tentative="1">
      <w:start w:val="1"/>
      <w:numFmt w:val="bullet"/>
      <w:lvlText w:val=""/>
      <w:lvlJc w:val="left"/>
      <w:pPr>
        <w:ind w:left="7200" w:hanging="360"/>
      </w:pPr>
      <w:rPr>
        <w:rFonts w:ascii="Wingdings" w:hAnsi="Wingdings" w:hint="default"/>
      </w:rPr>
    </w:lvl>
  </w:abstractNum>
  <w:abstractNum w:abstractNumId="3" w15:restartNumberingAfterBreak="0">
    <w:nsid w:val="12AC78F2"/>
    <w:multiLevelType w:val="hybridMultilevel"/>
    <w:tmpl w:val="52363F3A"/>
    <w:lvl w:ilvl="0" w:tplc="7F0A1A2E">
      <w:start w:val="1"/>
      <w:numFmt w:val="decimal"/>
      <w:lvlText w:val="%1.2"/>
      <w:lvlJc w:val="left"/>
      <w:pPr>
        <w:ind w:left="720" w:hanging="360"/>
      </w:pPr>
      <w:rPr>
        <w:rFonts w:hint="default"/>
      </w:rPr>
    </w:lvl>
    <w:lvl w:ilvl="1" w:tplc="C92E7D2E" w:tentative="1">
      <w:start w:val="1"/>
      <w:numFmt w:val="lowerLetter"/>
      <w:lvlText w:val="%2."/>
      <w:lvlJc w:val="left"/>
      <w:pPr>
        <w:ind w:left="1440" w:hanging="360"/>
      </w:pPr>
    </w:lvl>
    <w:lvl w:ilvl="2" w:tplc="A9EAE676" w:tentative="1">
      <w:start w:val="1"/>
      <w:numFmt w:val="lowerRoman"/>
      <w:lvlText w:val="%3."/>
      <w:lvlJc w:val="right"/>
      <w:pPr>
        <w:ind w:left="2160" w:hanging="180"/>
      </w:pPr>
    </w:lvl>
    <w:lvl w:ilvl="3" w:tplc="C8F6229A" w:tentative="1">
      <w:start w:val="1"/>
      <w:numFmt w:val="decimal"/>
      <w:lvlText w:val="%4."/>
      <w:lvlJc w:val="left"/>
      <w:pPr>
        <w:ind w:left="2880" w:hanging="360"/>
      </w:pPr>
    </w:lvl>
    <w:lvl w:ilvl="4" w:tplc="CB5E8712" w:tentative="1">
      <w:start w:val="1"/>
      <w:numFmt w:val="lowerLetter"/>
      <w:lvlText w:val="%5."/>
      <w:lvlJc w:val="left"/>
      <w:pPr>
        <w:ind w:left="3600" w:hanging="360"/>
      </w:pPr>
    </w:lvl>
    <w:lvl w:ilvl="5" w:tplc="54EAFB0A" w:tentative="1">
      <w:start w:val="1"/>
      <w:numFmt w:val="lowerRoman"/>
      <w:lvlText w:val="%6."/>
      <w:lvlJc w:val="right"/>
      <w:pPr>
        <w:ind w:left="4320" w:hanging="180"/>
      </w:pPr>
    </w:lvl>
    <w:lvl w:ilvl="6" w:tplc="47D89196" w:tentative="1">
      <w:start w:val="1"/>
      <w:numFmt w:val="decimal"/>
      <w:lvlText w:val="%7."/>
      <w:lvlJc w:val="left"/>
      <w:pPr>
        <w:ind w:left="5040" w:hanging="360"/>
      </w:pPr>
    </w:lvl>
    <w:lvl w:ilvl="7" w:tplc="C7EC4A26" w:tentative="1">
      <w:start w:val="1"/>
      <w:numFmt w:val="lowerLetter"/>
      <w:lvlText w:val="%8."/>
      <w:lvlJc w:val="left"/>
      <w:pPr>
        <w:ind w:left="5760" w:hanging="360"/>
      </w:pPr>
    </w:lvl>
    <w:lvl w:ilvl="8" w:tplc="18BC32C8" w:tentative="1">
      <w:start w:val="1"/>
      <w:numFmt w:val="lowerRoman"/>
      <w:lvlText w:val="%9."/>
      <w:lvlJc w:val="right"/>
      <w:pPr>
        <w:ind w:left="6480" w:hanging="180"/>
      </w:pPr>
    </w:lvl>
  </w:abstractNum>
  <w:abstractNum w:abstractNumId="4" w15:restartNumberingAfterBreak="0">
    <w:nsid w:val="1B066B22"/>
    <w:multiLevelType w:val="hybridMultilevel"/>
    <w:tmpl w:val="719AA058"/>
    <w:lvl w:ilvl="0" w:tplc="A2F0650C">
      <w:start w:val="1"/>
      <w:numFmt w:val="bullet"/>
      <w:lvlText w:val=""/>
      <w:lvlJc w:val="left"/>
      <w:pPr>
        <w:ind w:left="720" w:hanging="360"/>
      </w:pPr>
      <w:rPr>
        <w:rFonts w:ascii="Wingdings" w:hAnsi="Wingdings" w:hint="default"/>
      </w:rPr>
    </w:lvl>
    <w:lvl w:ilvl="1" w:tplc="16726D4A" w:tentative="1">
      <w:start w:val="1"/>
      <w:numFmt w:val="bullet"/>
      <w:lvlText w:val="o"/>
      <w:lvlJc w:val="left"/>
      <w:pPr>
        <w:ind w:left="1440" w:hanging="360"/>
      </w:pPr>
      <w:rPr>
        <w:rFonts w:ascii="Courier New" w:hAnsi="Courier New" w:cs="Courier New" w:hint="default"/>
      </w:rPr>
    </w:lvl>
    <w:lvl w:ilvl="2" w:tplc="2514C20E" w:tentative="1">
      <w:start w:val="1"/>
      <w:numFmt w:val="bullet"/>
      <w:lvlText w:val=""/>
      <w:lvlJc w:val="left"/>
      <w:pPr>
        <w:ind w:left="2160" w:hanging="360"/>
      </w:pPr>
      <w:rPr>
        <w:rFonts w:ascii="Wingdings" w:hAnsi="Wingdings" w:hint="default"/>
      </w:rPr>
    </w:lvl>
    <w:lvl w:ilvl="3" w:tplc="142058E0" w:tentative="1">
      <w:start w:val="1"/>
      <w:numFmt w:val="bullet"/>
      <w:lvlText w:val=""/>
      <w:lvlJc w:val="left"/>
      <w:pPr>
        <w:ind w:left="2880" w:hanging="360"/>
      </w:pPr>
      <w:rPr>
        <w:rFonts w:ascii="Symbol" w:hAnsi="Symbol" w:hint="default"/>
      </w:rPr>
    </w:lvl>
    <w:lvl w:ilvl="4" w:tplc="23F85F20" w:tentative="1">
      <w:start w:val="1"/>
      <w:numFmt w:val="bullet"/>
      <w:lvlText w:val="o"/>
      <w:lvlJc w:val="left"/>
      <w:pPr>
        <w:ind w:left="3600" w:hanging="360"/>
      </w:pPr>
      <w:rPr>
        <w:rFonts w:ascii="Courier New" w:hAnsi="Courier New" w:cs="Courier New" w:hint="default"/>
      </w:rPr>
    </w:lvl>
    <w:lvl w:ilvl="5" w:tplc="DC541118" w:tentative="1">
      <w:start w:val="1"/>
      <w:numFmt w:val="bullet"/>
      <w:lvlText w:val=""/>
      <w:lvlJc w:val="left"/>
      <w:pPr>
        <w:ind w:left="4320" w:hanging="360"/>
      </w:pPr>
      <w:rPr>
        <w:rFonts w:ascii="Wingdings" w:hAnsi="Wingdings" w:hint="default"/>
      </w:rPr>
    </w:lvl>
    <w:lvl w:ilvl="6" w:tplc="1B6EA7CE" w:tentative="1">
      <w:start w:val="1"/>
      <w:numFmt w:val="bullet"/>
      <w:lvlText w:val=""/>
      <w:lvlJc w:val="left"/>
      <w:pPr>
        <w:ind w:left="5040" w:hanging="360"/>
      </w:pPr>
      <w:rPr>
        <w:rFonts w:ascii="Symbol" w:hAnsi="Symbol" w:hint="default"/>
      </w:rPr>
    </w:lvl>
    <w:lvl w:ilvl="7" w:tplc="2898B8EE" w:tentative="1">
      <w:start w:val="1"/>
      <w:numFmt w:val="bullet"/>
      <w:lvlText w:val="o"/>
      <w:lvlJc w:val="left"/>
      <w:pPr>
        <w:ind w:left="5760" w:hanging="360"/>
      </w:pPr>
      <w:rPr>
        <w:rFonts w:ascii="Courier New" w:hAnsi="Courier New" w:cs="Courier New" w:hint="default"/>
      </w:rPr>
    </w:lvl>
    <w:lvl w:ilvl="8" w:tplc="F384CA44" w:tentative="1">
      <w:start w:val="1"/>
      <w:numFmt w:val="bullet"/>
      <w:lvlText w:val=""/>
      <w:lvlJc w:val="left"/>
      <w:pPr>
        <w:ind w:left="6480" w:hanging="360"/>
      </w:pPr>
      <w:rPr>
        <w:rFonts w:ascii="Wingdings" w:hAnsi="Wingdings" w:hint="default"/>
      </w:rPr>
    </w:lvl>
  </w:abstractNum>
  <w:abstractNum w:abstractNumId="5" w15:restartNumberingAfterBreak="0">
    <w:nsid w:val="1D9D5215"/>
    <w:multiLevelType w:val="hybridMultilevel"/>
    <w:tmpl w:val="88B89CD8"/>
    <w:lvl w:ilvl="0" w:tplc="B0B0E1DE">
      <w:start w:val="1"/>
      <w:numFmt w:val="bullet"/>
      <w:lvlText w:val=""/>
      <w:lvlJc w:val="left"/>
      <w:pPr>
        <w:ind w:left="720" w:hanging="360"/>
      </w:pPr>
      <w:rPr>
        <w:rFonts w:ascii="Symbol" w:hAnsi="Symbol" w:hint="default"/>
      </w:rPr>
    </w:lvl>
    <w:lvl w:ilvl="1" w:tplc="8AEE33DE">
      <w:start w:val="1"/>
      <w:numFmt w:val="bullet"/>
      <w:lvlText w:val="o"/>
      <w:lvlJc w:val="left"/>
      <w:pPr>
        <w:ind w:left="1440" w:hanging="360"/>
      </w:pPr>
      <w:rPr>
        <w:rFonts w:ascii="Courier New" w:hAnsi="Courier New" w:hint="default"/>
      </w:rPr>
    </w:lvl>
    <w:lvl w:ilvl="2" w:tplc="37F4F29C">
      <w:start w:val="1"/>
      <w:numFmt w:val="bullet"/>
      <w:lvlText w:val=""/>
      <w:lvlJc w:val="left"/>
      <w:pPr>
        <w:ind w:left="2160" w:hanging="360"/>
      </w:pPr>
      <w:rPr>
        <w:rFonts w:ascii="Wingdings" w:hAnsi="Wingdings" w:hint="default"/>
      </w:rPr>
    </w:lvl>
    <w:lvl w:ilvl="3" w:tplc="DB86376C">
      <w:start w:val="1"/>
      <w:numFmt w:val="bullet"/>
      <w:lvlText w:val=""/>
      <w:lvlJc w:val="left"/>
      <w:pPr>
        <w:ind w:left="2880" w:hanging="360"/>
      </w:pPr>
      <w:rPr>
        <w:rFonts w:ascii="Symbol" w:hAnsi="Symbol" w:hint="default"/>
      </w:rPr>
    </w:lvl>
    <w:lvl w:ilvl="4" w:tplc="978C5FAC">
      <w:start w:val="1"/>
      <w:numFmt w:val="bullet"/>
      <w:lvlText w:val="o"/>
      <w:lvlJc w:val="left"/>
      <w:pPr>
        <w:ind w:left="3600" w:hanging="360"/>
      </w:pPr>
      <w:rPr>
        <w:rFonts w:ascii="Courier New" w:hAnsi="Courier New" w:hint="default"/>
      </w:rPr>
    </w:lvl>
    <w:lvl w:ilvl="5" w:tplc="D5908C60">
      <w:start w:val="1"/>
      <w:numFmt w:val="bullet"/>
      <w:lvlText w:val=""/>
      <w:lvlJc w:val="left"/>
      <w:pPr>
        <w:ind w:left="4320" w:hanging="360"/>
      </w:pPr>
      <w:rPr>
        <w:rFonts w:ascii="Wingdings" w:hAnsi="Wingdings" w:hint="default"/>
      </w:rPr>
    </w:lvl>
    <w:lvl w:ilvl="6" w:tplc="A33E33D6">
      <w:start w:val="1"/>
      <w:numFmt w:val="bullet"/>
      <w:lvlText w:val=""/>
      <w:lvlJc w:val="left"/>
      <w:pPr>
        <w:ind w:left="5040" w:hanging="360"/>
      </w:pPr>
      <w:rPr>
        <w:rFonts w:ascii="Symbol" w:hAnsi="Symbol" w:hint="default"/>
      </w:rPr>
    </w:lvl>
    <w:lvl w:ilvl="7" w:tplc="1998355C">
      <w:start w:val="1"/>
      <w:numFmt w:val="bullet"/>
      <w:lvlText w:val="o"/>
      <w:lvlJc w:val="left"/>
      <w:pPr>
        <w:ind w:left="5760" w:hanging="360"/>
      </w:pPr>
      <w:rPr>
        <w:rFonts w:ascii="Courier New" w:hAnsi="Courier New" w:hint="default"/>
      </w:rPr>
    </w:lvl>
    <w:lvl w:ilvl="8" w:tplc="7A2A27EA">
      <w:start w:val="1"/>
      <w:numFmt w:val="bullet"/>
      <w:lvlText w:val=""/>
      <w:lvlJc w:val="left"/>
      <w:pPr>
        <w:ind w:left="6480" w:hanging="360"/>
      </w:pPr>
      <w:rPr>
        <w:rFonts w:ascii="Wingdings" w:hAnsi="Wingdings" w:hint="default"/>
      </w:rPr>
    </w:lvl>
  </w:abstractNum>
  <w:abstractNum w:abstractNumId="6" w15:restartNumberingAfterBreak="0">
    <w:nsid w:val="2F034A84"/>
    <w:multiLevelType w:val="multilevel"/>
    <w:tmpl w:val="B2002E5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5D1E"/>
    <w:multiLevelType w:val="multilevel"/>
    <w:tmpl w:val="3EA2271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550BB3"/>
    <w:multiLevelType w:val="multilevel"/>
    <w:tmpl w:val="F828BBE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F27BEC"/>
    <w:multiLevelType w:val="hybridMultilevel"/>
    <w:tmpl w:val="F2241880"/>
    <w:lvl w:ilvl="0" w:tplc="873CA902">
      <w:start w:val="1"/>
      <w:numFmt w:val="decimal"/>
      <w:lvlText w:val="%1."/>
      <w:lvlJc w:val="left"/>
      <w:pPr>
        <w:ind w:left="720" w:hanging="360"/>
      </w:pPr>
    </w:lvl>
    <w:lvl w:ilvl="1" w:tplc="4176E218">
      <w:start w:val="1"/>
      <w:numFmt w:val="lowerLetter"/>
      <w:lvlText w:val="%2."/>
      <w:lvlJc w:val="left"/>
      <w:pPr>
        <w:ind w:left="1440" w:hanging="360"/>
      </w:pPr>
    </w:lvl>
    <w:lvl w:ilvl="2" w:tplc="50DC6476">
      <w:start w:val="1"/>
      <w:numFmt w:val="lowerRoman"/>
      <w:lvlText w:val="%3."/>
      <w:lvlJc w:val="right"/>
      <w:pPr>
        <w:ind w:left="2160" w:hanging="180"/>
      </w:pPr>
    </w:lvl>
    <w:lvl w:ilvl="3" w:tplc="6C4640FC">
      <w:start w:val="1"/>
      <w:numFmt w:val="decimal"/>
      <w:lvlText w:val="%4."/>
      <w:lvlJc w:val="left"/>
      <w:pPr>
        <w:ind w:left="2880" w:hanging="360"/>
      </w:pPr>
    </w:lvl>
    <w:lvl w:ilvl="4" w:tplc="503800FA">
      <w:start w:val="1"/>
      <w:numFmt w:val="lowerLetter"/>
      <w:lvlText w:val="%5."/>
      <w:lvlJc w:val="left"/>
      <w:pPr>
        <w:ind w:left="3600" w:hanging="360"/>
      </w:pPr>
    </w:lvl>
    <w:lvl w:ilvl="5" w:tplc="B7B8A384">
      <w:start w:val="1"/>
      <w:numFmt w:val="lowerRoman"/>
      <w:lvlText w:val="%6."/>
      <w:lvlJc w:val="right"/>
      <w:pPr>
        <w:ind w:left="4320" w:hanging="180"/>
      </w:pPr>
    </w:lvl>
    <w:lvl w:ilvl="6" w:tplc="6F8A8346">
      <w:start w:val="1"/>
      <w:numFmt w:val="decimal"/>
      <w:lvlText w:val="%7."/>
      <w:lvlJc w:val="left"/>
      <w:pPr>
        <w:ind w:left="5040" w:hanging="360"/>
      </w:pPr>
    </w:lvl>
    <w:lvl w:ilvl="7" w:tplc="B232AE4E">
      <w:start w:val="1"/>
      <w:numFmt w:val="lowerLetter"/>
      <w:lvlText w:val="%8."/>
      <w:lvlJc w:val="left"/>
      <w:pPr>
        <w:ind w:left="5760" w:hanging="360"/>
      </w:pPr>
    </w:lvl>
    <w:lvl w:ilvl="8" w:tplc="95AE9F1E">
      <w:start w:val="1"/>
      <w:numFmt w:val="lowerRoman"/>
      <w:lvlText w:val="%9."/>
      <w:lvlJc w:val="right"/>
      <w:pPr>
        <w:ind w:left="6480" w:hanging="180"/>
      </w:pPr>
    </w:lvl>
  </w:abstractNum>
  <w:abstractNum w:abstractNumId="11" w15:restartNumberingAfterBreak="0">
    <w:nsid w:val="52ED0EF7"/>
    <w:multiLevelType w:val="hybridMultilevel"/>
    <w:tmpl w:val="867E2D8C"/>
    <w:lvl w:ilvl="0" w:tplc="2EC836F0">
      <w:start w:val="1"/>
      <w:numFmt w:val="bullet"/>
      <w:lvlText w:val=""/>
      <w:lvlJc w:val="left"/>
      <w:pPr>
        <w:ind w:left="1287" w:hanging="360"/>
      </w:pPr>
      <w:rPr>
        <w:rFonts w:ascii="Wingdings" w:hAnsi="Wingdings" w:hint="default"/>
      </w:rPr>
    </w:lvl>
    <w:lvl w:ilvl="1" w:tplc="1B4A512E" w:tentative="1">
      <w:start w:val="1"/>
      <w:numFmt w:val="bullet"/>
      <w:lvlText w:val="o"/>
      <w:lvlJc w:val="left"/>
      <w:pPr>
        <w:ind w:left="2007" w:hanging="360"/>
      </w:pPr>
      <w:rPr>
        <w:rFonts w:ascii="Courier New" w:hAnsi="Courier New" w:cs="Courier New" w:hint="default"/>
      </w:rPr>
    </w:lvl>
    <w:lvl w:ilvl="2" w:tplc="D28A7B4E" w:tentative="1">
      <w:start w:val="1"/>
      <w:numFmt w:val="bullet"/>
      <w:lvlText w:val=""/>
      <w:lvlJc w:val="left"/>
      <w:pPr>
        <w:ind w:left="2727" w:hanging="360"/>
      </w:pPr>
      <w:rPr>
        <w:rFonts w:ascii="Wingdings" w:hAnsi="Wingdings" w:hint="default"/>
      </w:rPr>
    </w:lvl>
    <w:lvl w:ilvl="3" w:tplc="F416A5CE" w:tentative="1">
      <w:start w:val="1"/>
      <w:numFmt w:val="bullet"/>
      <w:lvlText w:val=""/>
      <w:lvlJc w:val="left"/>
      <w:pPr>
        <w:ind w:left="3447" w:hanging="360"/>
      </w:pPr>
      <w:rPr>
        <w:rFonts w:ascii="Symbol" w:hAnsi="Symbol" w:hint="default"/>
      </w:rPr>
    </w:lvl>
    <w:lvl w:ilvl="4" w:tplc="7D5A6524" w:tentative="1">
      <w:start w:val="1"/>
      <w:numFmt w:val="bullet"/>
      <w:lvlText w:val="o"/>
      <w:lvlJc w:val="left"/>
      <w:pPr>
        <w:ind w:left="4167" w:hanging="360"/>
      </w:pPr>
      <w:rPr>
        <w:rFonts w:ascii="Courier New" w:hAnsi="Courier New" w:cs="Courier New" w:hint="default"/>
      </w:rPr>
    </w:lvl>
    <w:lvl w:ilvl="5" w:tplc="A27257A0" w:tentative="1">
      <w:start w:val="1"/>
      <w:numFmt w:val="bullet"/>
      <w:lvlText w:val=""/>
      <w:lvlJc w:val="left"/>
      <w:pPr>
        <w:ind w:left="4887" w:hanging="360"/>
      </w:pPr>
      <w:rPr>
        <w:rFonts w:ascii="Wingdings" w:hAnsi="Wingdings" w:hint="default"/>
      </w:rPr>
    </w:lvl>
    <w:lvl w:ilvl="6" w:tplc="083E6EDC" w:tentative="1">
      <w:start w:val="1"/>
      <w:numFmt w:val="bullet"/>
      <w:lvlText w:val=""/>
      <w:lvlJc w:val="left"/>
      <w:pPr>
        <w:ind w:left="5607" w:hanging="360"/>
      </w:pPr>
      <w:rPr>
        <w:rFonts w:ascii="Symbol" w:hAnsi="Symbol" w:hint="default"/>
      </w:rPr>
    </w:lvl>
    <w:lvl w:ilvl="7" w:tplc="6CD6BDCE" w:tentative="1">
      <w:start w:val="1"/>
      <w:numFmt w:val="bullet"/>
      <w:lvlText w:val="o"/>
      <w:lvlJc w:val="left"/>
      <w:pPr>
        <w:ind w:left="6327" w:hanging="360"/>
      </w:pPr>
      <w:rPr>
        <w:rFonts w:ascii="Courier New" w:hAnsi="Courier New" w:cs="Courier New" w:hint="default"/>
      </w:rPr>
    </w:lvl>
    <w:lvl w:ilvl="8" w:tplc="2054C22A" w:tentative="1">
      <w:start w:val="1"/>
      <w:numFmt w:val="bullet"/>
      <w:lvlText w:val=""/>
      <w:lvlJc w:val="left"/>
      <w:pPr>
        <w:ind w:left="7047" w:hanging="360"/>
      </w:pPr>
      <w:rPr>
        <w:rFonts w:ascii="Wingdings" w:hAnsi="Wingdings" w:hint="default"/>
      </w:rPr>
    </w:lvl>
  </w:abstractNum>
  <w:abstractNum w:abstractNumId="12" w15:restartNumberingAfterBreak="0">
    <w:nsid w:val="58091567"/>
    <w:multiLevelType w:val="hybridMultilevel"/>
    <w:tmpl w:val="99B8C390"/>
    <w:lvl w:ilvl="0" w:tplc="B472E7C2">
      <w:start w:val="1"/>
      <w:numFmt w:val="decimal"/>
      <w:lvlText w:val="%1)"/>
      <w:lvlJc w:val="left"/>
      <w:pPr>
        <w:ind w:left="720" w:hanging="360"/>
      </w:pPr>
      <w:rPr>
        <w:rFonts w:hint="default"/>
      </w:rPr>
    </w:lvl>
    <w:lvl w:ilvl="1" w:tplc="9DA0AF20" w:tentative="1">
      <w:start w:val="1"/>
      <w:numFmt w:val="lowerLetter"/>
      <w:lvlText w:val="%2."/>
      <w:lvlJc w:val="left"/>
      <w:pPr>
        <w:ind w:left="1440" w:hanging="360"/>
      </w:pPr>
    </w:lvl>
    <w:lvl w:ilvl="2" w:tplc="153E3300" w:tentative="1">
      <w:start w:val="1"/>
      <w:numFmt w:val="lowerRoman"/>
      <w:lvlText w:val="%3."/>
      <w:lvlJc w:val="right"/>
      <w:pPr>
        <w:ind w:left="2160" w:hanging="180"/>
      </w:pPr>
    </w:lvl>
    <w:lvl w:ilvl="3" w:tplc="F4A4BA60" w:tentative="1">
      <w:start w:val="1"/>
      <w:numFmt w:val="decimal"/>
      <w:lvlText w:val="%4."/>
      <w:lvlJc w:val="left"/>
      <w:pPr>
        <w:ind w:left="2880" w:hanging="360"/>
      </w:pPr>
    </w:lvl>
    <w:lvl w:ilvl="4" w:tplc="AA74D8C6" w:tentative="1">
      <w:start w:val="1"/>
      <w:numFmt w:val="lowerLetter"/>
      <w:lvlText w:val="%5."/>
      <w:lvlJc w:val="left"/>
      <w:pPr>
        <w:ind w:left="3600" w:hanging="360"/>
      </w:pPr>
    </w:lvl>
    <w:lvl w:ilvl="5" w:tplc="B62674CA" w:tentative="1">
      <w:start w:val="1"/>
      <w:numFmt w:val="lowerRoman"/>
      <w:lvlText w:val="%6."/>
      <w:lvlJc w:val="right"/>
      <w:pPr>
        <w:ind w:left="4320" w:hanging="180"/>
      </w:pPr>
    </w:lvl>
    <w:lvl w:ilvl="6" w:tplc="F850AFE4" w:tentative="1">
      <w:start w:val="1"/>
      <w:numFmt w:val="decimal"/>
      <w:lvlText w:val="%7."/>
      <w:lvlJc w:val="left"/>
      <w:pPr>
        <w:ind w:left="5040" w:hanging="360"/>
      </w:pPr>
    </w:lvl>
    <w:lvl w:ilvl="7" w:tplc="4C8C0F18" w:tentative="1">
      <w:start w:val="1"/>
      <w:numFmt w:val="lowerLetter"/>
      <w:lvlText w:val="%8."/>
      <w:lvlJc w:val="left"/>
      <w:pPr>
        <w:ind w:left="5760" w:hanging="360"/>
      </w:pPr>
    </w:lvl>
    <w:lvl w:ilvl="8" w:tplc="4E1E2A84" w:tentative="1">
      <w:start w:val="1"/>
      <w:numFmt w:val="lowerRoman"/>
      <w:lvlText w:val="%9."/>
      <w:lvlJc w:val="right"/>
      <w:pPr>
        <w:ind w:left="6480" w:hanging="180"/>
      </w:pPr>
    </w:lvl>
  </w:abstractNum>
  <w:abstractNum w:abstractNumId="13" w15:restartNumberingAfterBreak="0">
    <w:nsid w:val="5EEF39C4"/>
    <w:multiLevelType w:val="multilevel"/>
    <w:tmpl w:val="F62EE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45468D"/>
    <w:multiLevelType w:val="multilevel"/>
    <w:tmpl w:val="AEDE0714"/>
    <w:name w:val="CobbNumbering35232"/>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65774CF7"/>
    <w:multiLevelType w:val="multilevel"/>
    <w:tmpl w:val="E0BE5806"/>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EA3418"/>
    <w:multiLevelType w:val="multilevel"/>
    <w:tmpl w:val="881E5DF2"/>
    <w:name w:val="CobbNumbering198"/>
    <w:lvl w:ilvl="0">
      <w:start w:val="1"/>
      <w:numFmt w:val="none"/>
      <w:pStyle w:val="FWDL1"/>
      <w:suff w:val="nothing"/>
      <w:lvlText w:val=""/>
      <w:lvlJc w:val="left"/>
      <w:rPr>
        <w:rFonts w:ascii="Times New Roman" w:hAnsi="Times New Roman" w:cs="Times New Roman"/>
        <w:b w:val="0"/>
        <w:i w:val="0"/>
        <w:caps w:val="0"/>
        <w:color w:val="auto"/>
        <w:sz w:val="24"/>
        <w:szCs w:val="24"/>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4"/>
        <w:szCs w:val="24"/>
        <w:u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color w:val="auto"/>
        <w:sz w:val="24"/>
        <w:szCs w:val="24"/>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4"/>
        <w:szCs w:val="24"/>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4"/>
        <w:szCs w:val="24"/>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4"/>
        <w:szCs w:val="24"/>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szCs w:val="24"/>
        <w:u w:val="none"/>
      </w:rPr>
    </w:lvl>
  </w:abstractNum>
  <w:abstractNum w:abstractNumId="17" w15:restartNumberingAfterBreak="0">
    <w:nsid w:val="69397554"/>
    <w:multiLevelType w:val="multilevel"/>
    <w:tmpl w:val="E3DE80D0"/>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7427ABC"/>
    <w:multiLevelType w:val="multilevel"/>
    <w:tmpl w:val="C3AE6354"/>
    <w:lvl w:ilvl="0">
      <w:start w:val="16"/>
      <w:numFmt w:val="decimal"/>
      <w:lvlText w:val="%1."/>
      <w:lvlJc w:val="left"/>
      <w:pPr>
        <w:ind w:left="576" w:hanging="576"/>
      </w:pPr>
      <w:rPr>
        <w:rFonts w:hint="default"/>
        <w:b w:val="0"/>
      </w:rPr>
    </w:lvl>
    <w:lvl w:ilvl="1">
      <w:start w:val="1"/>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7"/>
  </w:num>
  <w:num w:numId="6">
    <w:abstractNumId w:val="9"/>
  </w:num>
  <w:num w:numId="7">
    <w:abstractNumId w:val="14"/>
  </w:num>
  <w:num w:numId="8">
    <w:abstractNumId w:val="6"/>
  </w:num>
  <w:num w:numId="9">
    <w:abstractNumId w:val="3"/>
  </w:num>
  <w:num w:numId="10">
    <w:abstractNumId w:val="0"/>
  </w:num>
  <w:num w:numId="11">
    <w:abstractNumId w:val="16"/>
  </w:num>
  <w:num w:numId="12">
    <w:abstractNumId w:val="1"/>
  </w:num>
  <w:num w:numId="13">
    <w:abstractNumId w:val="18"/>
  </w:num>
  <w:num w:numId="14">
    <w:abstractNumId w:val="15"/>
  </w:num>
  <w:num w:numId="15">
    <w:abstractNumId w:val="13"/>
  </w:num>
  <w:num w:numId="16">
    <w:abstractNumId w:val="2"/>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8"/>
    <w:rsid w:val="000023AD"/>
    <w:rsid w:val="000230AE"/>
    <w:rsid w:val="000243B8"/>
    <w:rsid w:val="000248F8"/>
    <w:rsid w:val="00033C03"/>
    <w:rsid w:val="00040016"/>
    <w:rsid w:val="00042B31"/>
    <w:rsid w:val="000459F7"/>
    <w:rsid w:val="000875E5"/>
    <w:rsid w:val="000B7B0D"/>
    <w:rsid w:val="00113B4B"/>
    <w:rsid w:val="001142EB"/>
    <w:rsid w:val="00114C00"/>
    <w:rsid w:val="00115527"/>
    <w:rsid w:val="00123F78"/>
    <w:rsid w:val="001322FB"/>
    <w:rsid w:val="00134E73"/>
    <w:rsid w:val="00143171"/>
    <w:rsid w:val="00157C2F"/>
    <w:rsid w:val="00163A5E"/>
    <w:rsid w:val="00170A04"/>
    <w:rsid w:val="001751DB"/>
    <w:rsid w:val="001A1F44"/>
    <w:rsid w:val="001A32BF"/>
    <w:rsid w:val="001B3FCB"/>
    <w:rsid w:val="001B591F"/>
    <w:rsid w:val="001C377E"/>
    <w:rsid w:val="001E74CB"/>
    <w:rsid w:val="001F0CA0"/>
    <w:rsid w:val="001F2230"/>
    <w:rsid w:val="00200788"/>
    <w:rsid w:val="002220D6"/>
    <w:rsid w:val="00237A0D"/>
    <w:rsid w:val="00237CCD"/>
    <w:rsid w:val="00242DA5"/>
    <w:rsid w:val="0024522A"/>
    <w:rsid w:val="002635F8"/>
    <w:rsid w:val="002765B1"/>
    <w:rsid w:val="00276E52"/>
    <w:rsid w:val="00281A38"/>
    <w:rsid w:val="00295005"/>
    <w:rsid w:val="002959F6"/>
    <w:rsid w:val="002A4641"/>
    <w:rsid w:val="002A511C"/>
    <w:rsid w:val="002B429F"/>
    <w:rsid w:val="002C6047"/>
    <w:rsid w:val="002D4A04"/>
    <w:rsid w:val="002E00F8"/>
    <w:rsid w:val="0031387F"/>
    <w:rsid w:val="00317E25"/>
    <w:rsid w:val="0035307B"/>
    <w:rsid w:val="00353B8A"/>
    <w:rsid w:val="00356E10"/>
    <w:rsid w:val="00360B84"/>
    <w:rsid w:val="00363397"/>
    <w:rsid w:val="003863C2"/>
    <w:rsid w:val="003A0DCF"/>
    <w:rsid w:val="003A4523"/>
    <w:rsid w:val="003A57C1"/>
    <w:rsid w:val="003A6219"/>
    <w:rsid w:val="003B099D"/>
    <w:rsid w:val="003B12EB"/>
    <w:rsid w:val="003B6E1C"/>
    <w:rsid w:val="003D0DE2"/>
    <w:rsid w:val="003E2351"/>
    <w:rsid w:val="003E4955"/>
    <w:rsid w:val="003E5008"/>
    <w:rsid w:val="003F0F9E"/>
    <w:rsid w:val="003F4819"/>
    <w:rsid w:val="00405239"/>
    <w:rsid w:val="00410A6F"/>
    <w:rsid w:val="0042508A"/>
    <w:rsid w:val="00427CD9"/>
    <w:rsid w:val="00433B84"/>
    <w:rsid w:val="00433DBA"/>
    <w:rsid w:val="00434DEB"/>
    <w:rsid w:val="00444437"/>
    <w:rsid w:val="00446DF0"/>
    <w:rsid w:val="00447877"/>
    <w:rsid w:val="004574BA"/>
    <w:rsid w:val="00470383"/>
    <w:rsid w:val="00471F5D"/>
    <w:rsid w:val="00475C32"/>
    <w:rsid w:val="00482BD4"/>
    <w:rsid w:val="00491848"/>
    <w:rsid w:val="004A3533"/>
    <w:rsid w:val="004A486E"/>
    <w:rsid w:val="004A5CB2"/>
    <w:rsid w:val="004A6CFA"/>
    <w:rsid w:val="004B48E0"/>
    <w:rsid w:val="004B5251"/>
    <w:rsid w:val="004B57ED"/>
    <w:rsid w:val="004C3187"/>
    <w:rsid w:val="004C7AC0"/>
    <w:rsid w:val="004E60EC"/>
    <w:rsid w:val="004E6ADE"/>
    <w:rsid w:val="004F2EB4"/>
    <w:rsid w:val="004F3048"/>
    <w:rsid w:val="00501BCF"/>
    <w:rsid w:val="005036CF"/>
    <w:rsid w:val="00522271"/>
    <w:rsid w:val="0052472D"/>
    <w:rsid w:val="005311DA"/>
    <w:rsid w:val="00536B1F"/>
    <w:rsid w:val="0054111B"/>
    <w:rsid w:val="00542D5D"/>
    <w:rsid w:val="005512A2"/>
    <w:rsid w:val="00552541"/>
    <w:rsid w:val="00552EF6"/>
    <w:rsid w:val="00556398"/>
    <w:rsid w:val="00560DC2"/>
    <w:rsid w:val="00562212"/>
    <w:rsid w:val="00562ACC"/>
    <w:rsid w:val="00582432"/>
    <w:rsid w:val="005879A0"/>
    <w:rsid w:val="005909C7"/>
    <w:rsid w:val="00592DCC"/>
    <w:rsid w:val="00596EB4"/>
    <w:rsid w:val="005A5E40"/>
    <w:rsid w:val="005A77D0"/>
    <w:rsid w:val="005B17FD"/>
    <w:rsid w:val="005B2B52"/>
    <w:rsid w:val="005B3245"/>
    <w:rsid w:val="005C27BE"/>
    <w:rsid w:val="005D3A72"/>
    <w:rsid w:val="005D551B"/>
    <w:rsid w:val="005D578E"/>
    <w:rsid w:val="005F0F58"/>
    <w:rsid w:val="005F547E"/>
    <w:rsid w:val="00604574"/>
    <w:rsid w:val="0060728D"/>
    <w:rsid w:val="00622235"/>
    <w:rsid w:val="00624D70"/>
    <w:rsid w:val="00626A06"/>
    <w:rsid w:val="006305CE"/>
    <w:rsid w:val="00630F36"/>
    <w:rsid w:val="00631802"/>
    <w:rsid w:val="0063667E"/>
    <w:rsid w:val="00640631"/>
    <w:rsid w:val="00641284"/>
    <w:rsid w:val="00651E5B"/>
    <w:rsid w:val="0066069B"/>
    <w:rsid w:val="0066746B"/>
    <w:rsid w:val="00667873"/>
    <w:rsid w:val="006719D9"/>
    <w:rsid w:val="00672197"/>
    <w:rsid w:val="0067743D"/>
    <w:rsid w:val="00677617"/>
    <w:rsid w:val="006923F2"/>
    <w:rsid w:val="00696ED8"/>
    <w:rsid w:val="006976E8"/>
    <w:rsid w:val="006A4E86"/>
    <w:rsid w:val="006B4D74"/>
    <w:rsid w:val="006C1F41"/>
    <w:rsid w:val="006D3679"/>
    <w:rsid w:val="006F1587"/>
    <w:rsid w:val="006F4007"/>
    <w:rsid w:val="00701850"/>
    <w:rsid w:val="007317C3"/>
    <w:rsid w:val="00731FC0"/>
    <w:rsid w:val="007423B7"/>
    <w:rsid w:val="00742808"/>
    <w:rsid w:val="00753454"/>
    <w:rsid w:val="0077652E"/>
    <w:rsid w:val="00780EE9"/>
    <w:rsid w:val="00782533"/>
    <w:rsid w:val="00782EC3"/>
    <w:rsid w:val="00785494"/>
    <w:rsid w:val="00797482"/>
    <w:rsid w:val="007B2651"/>
    <w:rsid w:val="007B3FAE"/>
    <w:rsid w:val="007C037B"/>
    <w:rsid w:val="007C61C6"/>
    <w:rsid w:val="007F0B3B"/>
    <w:rsid w:val="007F1DDD"/>
    <w:rsid w:val="007F31E7"/>
    <w:rsid w:val="007F41C8"/>
    <w:rsid w:val="008038DB"/>
    <w:rsid w:val="00803927"/>
    <w:rsid w:val="00810D20"/>
    <w:rsid w:val="00814AC0"/>
    <w:rsid w:val="008228B0"/>
    <w:rsid w:val="00837D48"/>
    <w:rsid w:val="008469FF"/>
    <w:rsid w:val="00850719"/>
    <w:rsid w:val="00854646"/>
    <w:rsid w:val="00865A6E"/>
    <w:rsid w:val="008A3B02"/>
    <w:rsid w:val="008A46FE"/>
    <w:rsid w:val="008B1375"/>
    <w:rsid w:val="008B6E55"/>
    <w:rsid w:val="008B77E2"/>
    <w:rsid w:val="008C2B62"/>
    <w:rsid w:val="008C698D"/>
    <w:rsid w:val="008F1D4D"/>
    <w:rsid w:val="00902ACD"/>
    <w:rsid w:val="0090443C"/>
    <w:rsid w:val="009057AF"/>
    <w:rsid w:val="00912A95"/>
    <w:rsid w:val="00923F40"/>
    <w:rsid w:val="00926962"/>
    <w:rsid w:val="00945E71"/>
    <w:rsid w:val="009464AD"/>
    <w:rsid w:val="00953F1F"/>
    <w:rsid w:val="00960847"/>
    <w:rsid w:val="009835CA"/>
    <w:rsid w:val="00987932"/>
    <w:rsid w:val="00987C3A"/>
    <w:rsid w:val="009C1A78"/>
    <w:rsid w:val="009C486E"/>
    <w:rsid w:val="009C5470"/>
    <w:rsid w:val="009D7858"/>
    <w:rsid w:val="009E66AF"/>
    <w:rsid w:val="009F5746"/>
    <w:rsid w:val="00A04AEC"/>
    <w:rsid w:val="00A057D9"/>
    <w:rsid w:val="00A06D4A"/>
    <w:rsid w:val="00A15FF8"/>
    <w:rsid w:val="00A17AF1"/>
    <w:rsid w:val="00A20453"/>
    <w:rsid w:val="00A22FD0"/>
    <w:rsid w:val="00A27ED6"/>
    <w:rsid w:val="00A31F9F"/>
    <w:rsid w:val="00A66389"/>
    <w:rsid w:val="00A908BB"/>
    <w:rsid w:val="00A97520"/>
    <w:rsid w:val="00AA2FE7"/>
    <w:rsid w:val="00AB5490"/>
    <w:rsid w:val="00AB7212"/>
    <w:rsid w:val="00AC1F4C"/>
    <w:rsid w:val="00AC6F47"/>
    <w:rsid w:val="00AD592C"/>
    <w:rsid w:val="00AE51E0"/>
    <w:rsid w:val="00AF224E"/>
    <w:rsid w:val="00AF6F14"/>
    <w:rsid w:val="00AF78AF"/>
    <w:rsid w:val="00B00DE3"/>
    <w:rsid w:val="00B038C0"/>
    <w:rsid w:val="00B07A5B"/>
    <w:rsid w:val="00B2087A"/>
    <w:rsid w:val="00B20AF3"/>
    <w:rsid w:val="00B2307E"/>
    <w:rsid w:val="00B447BD"/>
    <w:rsid w:val="00B47BE1"/>
    <w:rsid w:val="00B52642"/>
    <w:rsid w:val="00B529A4"/>
    <w:rsid w:val="00B53726"/>
    <w:rsid w:val="00B6207F"/>
    <w:rsid w:val="00B666F3"/>
    <w:rsid w:val="00B709D3"/>
    <w:rsid w:val="00B722F8"/>
    <w:rsid w:val="00B82417"/>
    <w:rsid w:val="00B92BF3"/>
    <w:rsid w:val="00BA3C35"/>
    <w:rsid w:val="00BA48F7"/>
    <w:rsid w:val="00BB410A"/>
    <w:rsid w:val="00BD4A6A"/>
    <w:rsid w:val="00BD601C"/>
    <w:rsid w:val="00BD7F08"/>
    <w:rsid w:val="00C25370"/>
    <w:rsid w:val="00C27371"/>
    <w:rsid w:val="00C274A8"/>
    <w:rsid w:val="00C31925"/>
    <w:rsid w:val="00C449C9"/>
    <w:rsid w:val="00C45AFC"/>
    <w:rsid w:val="00C53AB6"/>
    <w:rsid w:val="00C55AFD"/>
    <w:rsid w:val="00C665A0"/>
    <w:rsid w:val="00C70A14"/>
    <w:rsid w:val="00C75023"/>
    <w:rsid w:val="00C75F5A"/>
    <w:rsid w:val="00C964CB"/>
    <w:rsid w:val="00CA1FFC"/>
    <w:rsid w:val="00CB552D"/>
    <w:rsid w:val="00CD1519"/>
    <w:rsid w:val="00CD334C"/>
    <w:rsid w:val="00CE07C1"/>
    <w:rsid w:val="00CE7E2E"/>
    <w:rsid w:val="00D2164C"/>
    <w:rsid w:val="00D32876"/>
    <w:rsid w:val="00D406E7"/>
    <w:rsid w:val="00D47EAF"/>
    <w:rsid w:val="00D53A3B"/>
    <w:rsid w:val="00D627B5"/>
    <w:rsid w:val="00D62CC6"/>
    <w:rsid w:val="00D63010"/>
    <w:rsid w:val="00D74E54"/>
    <w:rsid w:val="00D876F1"/>
    <w:rsid w:val="00D92126"/>
    <w:rsid w:val="00DA6F00"/>
    <w:rsid w:val="00DD0F0F"/>
    <w:rsid w:val="00DF1F64"/>
    <w:rsid w:val="00DF7E41"/>
    <w:rsid w:val="00E13064"/>
    <w:rsid w:val="00E24341"/>
    <w:rsid w:val="00E31179"/>
    <w:rsid w:val="00E345EA"/>
    <w:rsid w:val="00E51053"/>
    <w:rsid w:val="00E512E6"/>
    <w:rsid w:val="00E60FDE"/>
    <w:rsid w:val="00E645D9"/>
    <w:rsid w:val="00E67515"/>
    <w:rsid w:val="00E965D4"/>
    <w:rsid w:val="00EB6F31"/>
    <w:rsid w:val="00EC2A01"/>
    <w:rsid w:val="00EC74E4"/>
    <w:rsid w:val="00ED1A9E"/>
    <w:rsid w:val="00EE12EE"/>
    <w:rsid w:val="00EE56B2"/>
    <w:rsid w:val="00EF28D4"/>
    <w:rsid w:val="00EF3DEA"/>
    <w:rsid w:val="00EF7411"/>
    <w:rsid w:val="00F0371E"/>
    <w:rsid w:val="00F0593D"/>
    <w:rsid w:val="00F100A3"/>
    <w:rsid w:val="00F15F65"/>
    <w:rsid w:val="00F25443"/>
    <w:rsid w:val="00F271E7"/>
    <w:rsid w:val="00F32059"/>
    <w:rsid w:val="00F34CBF"/>
    <w:rsid w:val="00F414CD"/>
    <w:rsid w:val="00F44432"/>
    <w:rsid w:val="00F46470"/>
    <w:rsid w:val="00F52692"/>
    <w:rsid w:val="00F556D0"/>
    <w:rsid w:val="00F7611E"/>
    <w:rsid w:val="00F7772E"/>
    <w:rsid w:val="00F90324"/>
    <w:rsid w:val="00F9624C"/>
    <w:rsid w:val="00FA01C7"/>
    <w:rsid w:val="00FA4062"/>
    <w:rsid w:val="00FA51B3"/>
    <w:rsid w:val="00FC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C4ECD24-B01C-EA40-AAB3-DEC0356E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DB"/>
    <w:pPr>
      <w:widowControl w:val="0"/>
      <w:overflowPunct w:val="0"/>
      <w:autoSpaceDE w:val="0"/>
      <w:autoSpaceDN w:val="0"/>
      <w:adjustRightInd w:val="0"/>
      <w:spacing w:before="60"/>
      <w:jc w:val="both"/>
      <w:textAlignment w:val="baseline"/>
    </w:pPr>
    <w:rPr>
      <w:sz w:val="24"/>
    </w:rPr>
  </w:style>
  <w:style w:type="paragraph" w:styleId="1">
    <w:name w:val="heading 1"/>
    <w:basedOn w:val="a"/>
    <w:next w:val="a"/>
    <w:qFormat/>
    <w:rsid w:val="00775EB8"/>
    <w:pPr>
      <w:keepNext/>
      <w:spacing w:before="240" w:after="60"/>
      <w:outlineLvl w:val="0"/>
    </w:pPr>
    <w:rPr>
      <w:rFonts w:ascii="Arial" w:hAnsi="Arial" w:cs="Arial"/>
      <w:b/>
      <w:bCs/>
      <w:kern w:val="32"/>
      <w:sz w:val="32"/>
      <w:szCs w:val="32"/>
    </w:rPr>
  </w:style>
  <w:style w:type="paragraph" w:styleId="2">
    <w:name w:val="heading 2"/>
    <w:basedOn w:val="a"/>
    <w:next w:val="a"/>
    <w:qFormat/>
    <w:rsid w:val="00775EB8"/>
    <w:pPr>
      <w:keepNext/>
      <w:spacing w:before="240" w:after="60"/>
      <w:outlineLvl w:val="1"/>
    </w:pPr>
    <w:rPr>
      <w:rFonts w:ascii="Arial" w:hAnsi="Arial" w:cs="Arial"/>
      <w:b/>
      <w:bCs/>
      <w:i/>
      <w:iCs/>
      <w:sz w:val="28"/>
      <w:szCs w:val="28"/>
    </w:rPr>
  </w:style>
  <w:style w:type="paragraph" w:styleId="30">
    <w:name w:val="heading 3"/>
    <w:basedOn w:val="a"/>
    <w:next w:val="a"/>
    <w:qFormat/>
    <w:rsid w:val="00775E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autoRedefine/>
    <w:rsid w:val="00775EB8"/>
    <w:pPr>
      <w:keepLines/>
      <w:pageBreakBefore/>
      <w:spacing w:before="0" w:after="0"/>
      <w:jc w:val="center"/>
    </w:pPr>
    <w:rPr>
      <w:rFonts w:ascii="Times New Roman" w:hAnsi="Times New Roman" w:cs="Times New Roman"/>
      <w:bCs w:val="0"/>
      <w:spacing w:val="-10"/>
      <w:kern w:val="20"/>
      <w:sz w:val="28"/>
      <w:szCs w:val="20"/>
    </w:rPr>
  </w:style>
  <w:style w:type="paragraph" w:styleId="a3">
    <w:name w:val="List Continue"/>
    <w:basedOn w:val="a"/>
    <w:rsid w:val="00775EB8"/>
    <w:pPr>
      <w:spacing w:after="120"/>
      <w:ind w:left="283"/>
    </w:pPr>
  </w:style>
  <w:style w:type="paragraph" w:customStyle="1" w:styleId="20">
    <w:name w:val="Стиль2"/>
    <w:basedOn w:val="1"/>
    <w:next w:val="a3"/>
    <w:autoRedefine/>
    <w:rsid w:val="00775EB8"/>
    <w:pPr>
      <w:keepLines/>
      <w:spacing w:before="0" w:after="0" w:line="220" w:lineRule="atLeast"/>
      <w:jc w:val="center"/>
    </w:pPr>
    <w:rPr>
      <w:rFonts w:ascii="Times New Roman" w:hAnsi="Times New Roman" w:cs="Times New Roman"/>
      <w:bCs w:val="0"/>
      <w:spacing w:val="-10"/>
      <w:kern w:val="20"/>
      <w:sz w:val="28"/>
      <w:szCs w:val="20"/>
    </w:rPr>
  </w:style>
  <w:style w:type="paragraph" w:customStyle="1" w:styleId="31">
    <w:name w:val="Стиль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
    <w:name w:val="Стиль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
    <w:name w:val="Стиль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
    <w:name w:val="Стиль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7">
    <w:name w:val="Стиль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8">
    <w:name w:val="Стиль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9">
    <w:name w:val="Стиль9"/>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00">
    <w:name w:val="Стиль1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1">
    <w:name w:val="Стиль1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2">
    <w:name w:val="Стиль12"/>
    <w:basedOn w:val="2"/>
    <w:next w:val="a3"/>
    <w:autoRedefine/>
    <w:rsid w:val="00775EB8"/>
    <w:pPr>
      <w:spacing w:before="0" w:after="0"/>
      <w:jc w:val="center"/>
    </w:pPr>
    <w:rPr>
      <w:rFonts w:ascii="Times New Roman" w:hAnsi="Times New Roman" w:cs="Times New Roman"/>
      <w:bCs w:val="0"/>
      <w:i w:val="0"/>
      <w:iCs w:val="0"/>
      <w:color w:val="000000"/>
      <w:spacing w:val="6"/>
      <w:szCs w:val="20"/>
    </w:rPr>
  </w:style>
  <w:style w:type="paragraph" w:customStyle="1" w:styleId="13">
    <w:name w:val="Стиль13"/>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14">
    <w:name w:val="Стиль1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5">
    <w:name w:val="Стиль1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6">
    <w:name w:val="Стиль1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7">
    <w:name w:val="Стиль1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8">
    <w:name w:val="Стиль1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9">
    <w:name w:val="Стиль19"/>
    <w:basedOn w:val="5"/>
    <w:next w:val="a3"/>
    <w:autoRedefine/>
    <w:rsid w:val="00775EB8"/>
  </w:style>
  <w:style w:type="paragraph" w:customStyle="1" w:styleId="200">
    <w:name w:val="Стиль2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1">
    <w:name w:val="Стиль2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2">
    <w:name w:val="Стиль2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3">
    <w:name w:val="Стиль2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5">
    <w:name w:val="Стиль25"/>
    <w:basedOn w:val="30"/>
    <w:autoRedefine/>
    <w:rsid w:val="00775EB8"/>
    <w:pPr>
      <w:spacing w:before="0" w:after="0"/>
      <w:jc w:val="center"/>
    </w:pPr>
    <w:rPr>
      <w:rFonts w:ascii="Times New Roman" w:hAnsi="Times New Roman" w:cs="Times New Roman"/>
      <w:bCs w:val="0"/>
      <w:sz w:val="28"/>
      <w:szCs w:val="20"/>
    </w:rPr>
  </w:style>
  <w:style w:type="paragraph" w:customStyle="1" w:styleId="26">
    <w:name w:val="Стиль2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7">
    <w:name w:val="Стиль2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8">
    <w:name w:val="Стиль2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9">
    <w:name w:val="Стиль2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00">
    <w:name w:val="Стиль3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10">
    <w:name w:val="Стиль3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2">
    <w:name w:val="Стиль3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3">
    <w:name w:val="Стиль3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4">
    <w:name w:val="Стиль34"/>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5">
    <w:name w:val="Стиль35"/>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6">
    <w:name w:val="Стиль36"/>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7">
    <w:name w:val="Стиль37"/>
    <w:basedOn w:val="2"/>
    <w:next w:val="a3"/>
    <w:autoRedefine/>
    <w:rsid w:val="00775EB8"/>
    <w:pPr>
      <w:spacing w:before="0" w:after="0" w:line="240" w:lineRule="exact"/>
      <w:jc w:val="center"/>
    </w:pPr>
    <w:rPr>
      <w:rFonts w:ascii="Times New Roman" w:hAnsi="Times New Roman" w:cs="Times New Roman"/>
      <w:b w:val="0"/>
      <w:bCs w:val="0"/>
      <w:i w:val="0"/>
      <w:iCs w:val="0"/>
      <w:snapToGrid w:val="0"/>
    </w:rPr>
  </w:style>
  <w:style w:type="paragraph" w:customStyle="1" w:styleId="38">
    <w:name w:val="Стиль38"/>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9">
    <w:name w:val="Стиль39"/>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0">
    <w:name w:val="Стиль40"/>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1">
    <w:name w:val="Стиль41"/>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42">
    <w:name w:val="Стиль42"/>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43">
    <w:name w:val="Стиль4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4">
    <w:name w:val="Стиль4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5">
    <w:name w:val="Стиль4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6">
    <w:name w:val="Стиль4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7">
    <w:name w:val="Стиль4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8">
    <w:name w:val="Стиль4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9">
    <w:name w:val="Стиль4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0">
    <w:name w:val="Стиль5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1">
    <w:name w:val="Стиль5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2">
    <w:name w:val="Стиль5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3">
    <w:name w:val="Стиль5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4">
    <w:name w:val="Стиль5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5">
    <w:name w:val="Стиль5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6">
    <w:name w:val="Стиль5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7">
    <w:name w:val="Стиль57"/>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8">
    <w:name w:val="Стиль58"/>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9">
    <w:name w:val="Стиль59"/>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60">
    <w:name w:val="Стиль6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1">
    <w:name w:val="Стиль61"/>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62">
    <w:name w:val="Стиль62"/>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3">
    <w:name w:val="Стиль63"/>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4">
    <w:name w:val="Стиль64"/>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5">
    <w:name w:val="Стиль65"/>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6">
    <w:name w:val="Стиль66"/>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7">
    <w:name w:val="Стиль67"/>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8">
    <w:name w:val="Стиль68"/>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9">
    <w:name w:val="Стиль69"/>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0">
    <w:name w:val="Стиль70"/>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1">
    <w:name w:val="Стиль71"/>
    <w:basedOn w:val="1"/>
    <w:next w:val="a3"/>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72">
    <w:name w:val="Стиль72"/>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3">
    <w:name w:val="Стиль73"/>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4">
    <w:name w:val="Стиль74"/>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5">
    <w:name w:val="Стиль75"/>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6">
    <w:name w:val="Стиль76"/>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7">
    <w:name w:val="Стиль77"/>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8">
    <w:name w:val="Стиль78"/>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9">
    <w:name w:val="Стиль79"/>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0">
    <w:name w:val="Стиль80"/>
    <w:basedOn w:val="1"/>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81">
    <w:name w:val="Стиль81"/>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customStyle="1" w:styleId="82">
    <w:name w:val="Стиль82"/>
    <w:basedOn w:val="2"/>
    <w:autoRedefine/>
    <w:rsid w:val="00775EB8"/>
    <w:pPr>
      <w:spacing w:before="0" w:after="0" w:line="240" w:lineRule="exact"/>
      <w:ind w:firstLine="5760"/>
      <w:jc w:val="center"/>
    </w:pPr>
    <w:rPr>
      <w:rFonts w:ascii="Times New Roman" w:hAnsi="Times New Roman" w:cs="Times New Roman"/>
      <w:b w:val="0"/>
      <w:bCs w:val="0"/>
      <w:i w:val="0"/>
      <w:iCs w:val="0"/>
      <w:szCs w:val="20"/>
    </w:rPr>
  </w:style>
  <w:style w:type="paragraph" w:customStyle="1" w:styleId="83">
    <w:name w:val="Стиль83"/>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4">
    <w:name w:val="Стиль84"/>
    <w:basedOn w:val="1"/>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5">
    <w:name w:val="Стиль85"/>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6">
    <w:name w:val="Стиль86"/>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7">
    <w:name w:val="Стиль87"/>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90">
    <w:name w:val="Стиль90"/>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styleId="a4">
    <w:name w:val="Body Text"/>
    <w:basedOn w:val="a"/>
    <w:rsid w:val="00B61DDB"/>
    <w:pPr>
      <w:spacing w:after="120"/>
    </w:pPr>
  </w:style>
  <w:style w:type="paragraph" w:styleId="a5">
    <w:name w:val="Body Text Indent"/>
    <w:basedOn w:val="a"/>
    <w:rsid w:val="00B61DDB"/>
    <w:pPr>
      <w:spacing w:after="120"/>
      <w:ind w:left="283"/>
    </w:pPr>
  </w:style>
  <w:style w:type="paragraph" w:styleId="24">
    <w:name w:val="Body Text Indent 2"/>
    <w:basedOn w:val="a"/>
    <w:rsid w:val="00B61DDB"/>
    <w:pPr>
      <w:spacing w:after="120" w:line="480" w:lineRule="auto"/>
      <w:ind w:left="283"/>
    </w:pPr>
  </w:style>
  <w:style w:type="paragraph" w:styleId="2a">
    <w:name w:val="Body Text 2"/>
    <w:basedOn w:val="a"/>
    <w:rsid w:val="00B61DDB"/>
    <w:pPr>
      <w:widowControl/>
      <w:overflowPunct/>
      <w:autoSpaceDE/>
      <w:autoSpaceDN/>
      <w:adjustRightInd/>
      <w:spacing w:before="0" w:after="120" w:line="480" w:lineRule="auto"/>
      <w:jc w:val="left"/>
      <w:textAlignment w:val="auto"/>
    </w:pPr>
    <w:rPr>
      <w:szCs w:val="24"/>
    </w:rPr>
  </w:style>
  <w:style w:type="character" w:customStyle="1" w:styleId="DeltaViewInsertion">
    <w:name w:val="DeltaView Insertion"/>
    <w:rsid w:val="00B61DDB"/>
    <w:rPr>
      <w:color w:val="0000FF"/>
      <w:spacing w:val="0"/>
      <w:u w:val="double"/>
    </w:rPr>
  </w:style>
  <w:style w:type="paragraph" w:customStyle="1" w:styleId="Normal0">
    <w:name w:val="Normal_0"/>
    <w:rsid w:val="00B61DDB"/>
    <w:pPr>
      <w:widowControl w:val="0"/>
      <w:spacing w:line="260" w:lineRule="auto"/>
      <w:ind w:firstLine="500"/>
    </w:pPr>
    <w:rPr>
      <w:rFonts w:ascii="Arial" w:hAnsi="Arial"/>
      <w:snapToGrid w:val="0"/>
      <w:sz w:val="22"/>
    </w:rPr>
  </w:style>
  <w:style w:type="character" w:customStyle="1" w:styleId="deltaviewinsertion0">
    <w:name w:val="deltaviewinsertion"/>
    <w:basedOn w:val="a0"/>
    <w:rsid w:val="00B61DDB"/>
  </w:style>
  <w:style w:type="paragraph" w:styleId="a6">
    <w:name w:val="header"/>
    <w:basedOn w:val="a"/>
    <w:link w:val="a7"/>
    <w:uiPriority w:val="99"/>
    <w:rsid w:val="00B61DDB"/>
    <w:pPr>
      <w:tabs>
        <w:tab w:val="center" w:pos="4677"/>
        <w:tab w:val="right" w:pos="9355"/>
      </w:tabs>
    </w:pPr>
  </w:style>
  <w:style w:type="character" w:styleId="a8">
    <w:name w:val="page number"/>
    <w:basedOn w:val="a0"/>
    <w:rsid w:val="00B61DDB"/>
  </w:style>
  <w:style w:type="paragraph" w:styleId="a9">
    <w:name w:val="footer"/>
    <w:basedOn w:val="a"/>
    <w:link w:val="aa"/>
    <w:uiPriority w:val="99"/>
    <w:rsid w:val="00B61DDB"/>
    <w:pPr>
      <w:tabs>
        <w:tab w:val="center" w:pos="4677"/>
        <w:tab w:val="right" w:pos="9355"/>
      </w:tabs>
    </w:pPr>
  </w:style>
  <w:style w:type="paragraph" w:customStyle="1" w:styleId="ConsNormal">
    <w:name w:val="ConsNormal"/>
    <w:rsid w:val="000713B6"/>
    <w:pPr>
      <w:snapToGrid w:val="0"/>
      <w:ind w:firstLine="720"/>
    </w:pPr>
    <w:rPr>
      <w:rFonts w:ascii="Consultant" w:hAnsi="Consultant"/>
    </w:rPr>
  </w:style>
  <w:style w:type="character" w:styleId="ab">
    <w:name w:val="Hyperlink"/>
    <w:rsid w:val="000713B6"/>
    <w:rPr>
      <w:color w:val="0000FF"/>
      <w:u w:val="single"/>
    </w:rPr>
  </w:style>
  <w:style w:type="character" w:styleId="ac">
    <w:name w:val="Strong"/>
    <w:uiPriority w:val="22"/>
    <w:qFormat/>
    <w:rsid w:val="00DD54DC"/>
    <w:rPr>
      <w:b/>
      <w:bCs/>
    </w:rPr>
  </w:style>
  <w:style w:type="paragraph" w:styleId="ad">
    <w:name w:val="Balloon Text"/>
    <w:basedOn w:val="a"/>
    <w:link w:val="ae"/>
    <w:rsid w:val="00F85AF2"/>
    <w:pPr>
      <w:spacing w:before="0"/>
    </w:pPr>
    <w:rPr>
      <w:rFonts w:ascii="Tahoma" w:hAnsi="Tahoma" w:cs="Tahoma"/>
      <w:sz w:val="16"/>
      <w:szCs w:val="16"/>
    </w:rPr>
  </w:style>
  <w:style w:type="character" w:customStyle="1" w:styleId="ae">
    <w:name w:val="Текст выноски Знак"/>
    <w:link w:val="ad"/>
    <w:rsid w:val="00F85AF2"/>
    <w:rPr>
      <w:rFonts w:ascii="Tahoma" w:hAnsi="Tahoma" w:cs="Tahoma"/>
      <w:sz w:val="16"/>
      <w:szCs w:val="16"/>
    </w:rPr>
  </w:style>
  <w:style w:type="paragraph" w:customStyle="1" w:styleId="ConsPlusNormal">
    <w:name w:val="ConsPlusNormal"/>
    <w:rsid w:val="00245FD5"/>
    <w:pPr>
      <w:autoSpaceDE w:val="0"/>
      <w:autoSpaceDN w:val="0"/>
      <w:adjustRightInd w:val="0"/>
    </w:pPr>
    <w:rPr>
      <w:rFonts w:ascii="Arial" w:hAnsi="Arial" w:cs="Arial"/>
      <w:sz w:val="24"/>
      <w:szCs w:val="24"/>
    </w:rPr>
  </w:style>
  <w:style w:type="character" w:customStyle="1" w:styleId="aa">
    <w:name w:val="Нижний колонтитул Знак"/>
    <w:link w:val="a9"/>
    <w:uiPriority w:val="99"/>
    <w:rsid w:val="00B00DE3"/>
    <w:rPr>
      <w:sz w:val="24"/>
    </w:rPr>
  </w:style>
  <w:style w:type="character" w:customStyle="1" w:styleId="a7">
    <w:name w:val="Верхний колонтитул Знак"/>
    <w:link w:val="a6"/>
    <w:uiPriority w:val="99"/>
    <w:rsid w:val="00B00DE3"/>
    <w:rPr>
      <w:sz w:val="24"/>
    </w:rPr>
  </w:style>
  <w:style w:type="table" w:styleId="af">
    <w:name w:val="Table Grid"/>
    <w:basedOn w:val="a1"/>
    <w:rsid w:val="007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75AF"/>
    <w:pPr>
      <w:overflowPunct/>
      <w:autoSpaceDE/>
      <w:autoSpaceDN/>
      <w:spacing w:before="0" w:after="120" w:line="360" w:lineRule="auto"/>
      <w:ind w:left="720"/>
      <w:contextualSpacing/>
    </w:pPr>
    <w:rPr>
      <w:rFonts w:ascii="Arial" w:hAnsi="Arial"/>
      <w:sz w:val="22"/>
      <w:szCs w:val="24"/>
      <w:lang w:val="en-GB" w:eastAsia="en-US"/>
    </w:rPr>
  </w:style>
  <w:style w:type="character" w:styleId="af1">
    <w:name w:val="annotation reference"/>
    <w:basedOn w:val="a0"/>
    <w:rsid w:val="00DF3F65"/>
    <w:rPr>
      <w:sz w:val="16"/>
      <w:szCs w:val="16"/>
    </w:rPr>
  </w:style>
  <w:style w:type="paragraph" w:styleId="af2">
    <w:name w:val="annotation text"/>
    <w:basedOn w:val="a"/>
    <w:link w:val="af3"/>
    <w:rsid w:val="00DF3F65"/>
    <w:rPr>
      <w:sz w:val="20"/>
    </w:rPr>
  </w:style>
  <w:style w:type="character" w:customStyle="1" w:styleId="af3">
    <w:name w:val="Текст примечания Знак"/>
    <w:basedOn w:val="a0"/>
    <w:link w:val="af2"/>
    <w:rsid w:val="00DF3F65"/>
  </w:style>
  <w:style w:type="paragraph" w:styleId="af4">
    <w:name w:val="annotation subject"/>
    <w:basedOn w:val="af2"/>
    <w:next w:val="af2"/>
    <w:link w:val="af5"/>
    <w:rsid w:val="00DF3F65"/>
    <w:rPr>
      <w:b/>
      <w:bCs/>
    </w:rPr>
  </w:style>
  <w:style w:type="character" w:customStyle="1" w:styleId="af5">
    <w:name w:val="Тема примечания Знак"/>
    <w:basedOn w:val="af3"/>
    <w:link w:val="af4"/>
    <w:rsid w:val="00DF3F65"/>
    <w:rPr>
      <w:b/>
      <w:bCs/>
    </w:rPr>
  </w:style>
  <w:style w:type="paragraph" w:customStyle="1" w:styleId="FWDL1">
    <w:name w:val="FWD_L1"/>
    <w:basedOn w:val="a"/>
    <w:rsid w:val="003B099D"/>
    <w:pPr>
      <w:numPr>
        <w:numId w:val="11"/>
      </w:numPr>
      <w:overflowPunct/>
      <w:autoSpaceDE/>
      <w:autoSpaceDN/>
      <w:spacing w:before="0" w:after="240" w:line="360" w:lineRule="auto"/>
    </w:pPr>
    <w:rPr>
      <w:szCs w:val="24"/>
      <w:lang w:val="en-GB" w:eastAsia="en-US"/>
    </w:rPr>
  </w:style>
  <w:style w:type="paragraph" w:customStyle="1" w:styleId="FWDL2">
    <w:name w:val="FWD_L2"/>
    <w:basedOn w:val="FWDL1"/>
    <w:rsid w:val="003B099D"/>
    <w:pPr>
      <w:numPr>
        <w:ilvl w:val="1"/>
      </w:numPr>
      <w:tabs>
        <w:tab w:val="clear" w:pos="720"/>
        <w:tab w:val="num" w:pos="643"/>
        <w:tab w:val="num" w:pos="1440"/>
      </w:tabs>
      <w:ind w:left="643" w:hanging="360"/>
    </w:pPr>
  </w:style>
  <w:style w:type="paragraph" w:customStyle="1" w:styleId="FWDL3">
    <w:name w:val="FWD_L3"/>
    <w:basedOn w:val="FWDL2"/>
    <w:rsid w:val="003B099D"/>
    <w:pPr>
      <w:numPr>
        <w:ilvl w:val="2"/>
      </w:numPr>
      <w:tabs>
        <w:tab w:val="clear" w:pos="1440"/>
        <w:tab w:val="num" w:pos="643"/>
        <w:tab w:val="num" w:pos="2160"/>
      </w:tabs>
      <w:ind w:left="643" w:hanging="360"/>
    </w:pPr>
  </w:style>
  <w:style w:type="paragraph" w:customStyle="1" w:styleId="FWDL4">
    <w:name w:val="FWD_L4"/>
    <w:basedOn w:val="FWDL3"/>
    <w:rsid w:val="003B099D"/>
    <w:pPr>
      <w:numPr>
        <w:ilvl w:val="3"/>
      </w:numPr>
      <w:tabs>
        <w:tab w:val="clear" w:pos="2160"/>
        <w:tab w:val="num" w:pos="643"/>
        <w:tab w:val="num" w:pos="2880"/>
      </w:tabs>
      <w:ind w:left="643" w:hanging="360"/>
    </w:pPr>
  </w:style>
  <w:style w:type="paragraph" w:customStyle="1" w:styleId="FWDL5">
    <w:name w:val="FWD_L5"/>
    <w:basedOn w:val="FWDL4"/>
    <w:rsid w:val="003B099D"/>
    <w:pPr>
      <w:numPr>
        <w:ilvl w:val="4"/>
      </w:numPr>
      <w:tabs>
        <w:tab w:val="clear" w:pos="2880"/>
        <w:tab w:val="num" w:pos="643"/>
        <w:tab w:val="num" w:pos="3600"/>
      </w:tabs>
      <w:ind w:left="643" w:hanging="360"/>
    </w:pPr>
  </w:style>
  <w:style w:type="paragraph" w:customStyle="1" w:styleId="FWDL6">
    <w:name w:val="FWD_L6"/>
    <w:basedOn w:val="FWDL5"/>
    <w:rsid w:val="003B099D"/>
    <w:pPr>
      <w:numPr>
        <w:ilvl w:val="5"/>
      </w:numPr>
      <w:tabs>
        <w:tab w:val="clear" w:pos="3600"/>
        <w:tab w:val="num" w:pos="643"/>
        <w:tab w:val="num" w:pos="4320"/>
      </w:tabs>
      <w:ind w:left="643" w:hanging="360"/>
    </w:pPr>
  </w:style>
  <w:style w:type="paragraph" w:customStyle="1" w:styleId="FWDL7">
    <w:name w:val="FWD_L7"/>
    <w:basedOn w:val="FWDL6"/>
    <w:rsid w:val="003B099D"/>
    <w:pPr>
      <w:numPr>
        <w:ilvl w:val="6"/>
      </w:numPr>
      <w:tabs>
        <w:tab w:val="clear" w:pos="4320"/>
        <w:tab w:val="num" w:pos="643"/>
        <w:tab w:val="num" w:pos="5040"/>
      </w:tabs>
      <w:ind w:left="643" w:hanging="360"/>
    </w:pPr>
  </w:style>
  <w:style w:type="paragraph" w:styleId="3">
    <w:name w:val="List Number 3"/>
    <w:basedOn w:val="a"/>
    <w:rsid w:val="003B099D"/>
    <w:pPr>
      <w:numPr>
        <w:numId w:val="10"/>
      </w:numPr>
      <w:tabs>
        <w:tab w:val="left" w:pos="4464"/>
      </w:tabs>
      <w:overflowPunct/>
      <w:autoSpaceDE/>
      <w:autoSpaceDN/>
      <w:spacing w:before="0" w:after="120" w:line="360" w:lineRule="auto"/>
    </w:pPr>
    <w:rPr>
      <w:rFonts w:ascii="Arial" w:hAnsi="Arial"/>
      <w:sz w:val="22"/>
      <w:szCs w:val="24"/>
      <w:lang w:val="en-GB" w:eastAsia="en-US"/>
    </w:rPr>
  </w:style>
  <w:style w:type="paragraph" w:customStyle="1" w:styleId="FWBL2">
    <w:name w:val="FWB_L2"/>
    <w:basedOn w:val="a"/>
    <w:rsid w:val="002B429F"/>
    <w:pPr>
      <w:numPr>
        <w:ilvl w:val="1"/>
        <w:numId w:val="12"/>
      </w:numPr>
      <w:tabs>
        <w:tab w:val="clear" w:pos="1440"/>
        <w:tab w:val="num" w:pos="360"/>
      </w:tabs>
      <w:overflowPunct/>
      <w:autoSpaceDE/>
      <w:autoSpaceDN/>
      <w:spacing w:before="0" w:after="240" w:line="360" w:lineRule="auto"/>
      <w:ind w:left="360" w:hanging="360"/>
    </w:pPr>
    <w:rPr>
      <w:szCs w:val="24"/>
      <w:lang w:val="en-GB" w:eastAsia="en-US"/>
    </w:rPr>
  </w:style>
  <w:style w:type="paragraph" w:customStyle="1" w:styleId="FWBL3">
    <w:name w:val="FWB_L3"/>
    <w:basedOn w:val="FWBL2"/>
    <w:rsid w:val="002B429F"/>
    <w:pPr>
      <w:numPr>
        <w:ilvl w:val="2"/>
      </w:numPr>
      <w:tabs>
        <w:tab w:val="num" w:pos="360"/>
      </w:tabs>
      <w:ind w:left="360" w:hanging="360"/>
    </w:pPr>
  </w:style>
  <w:style w:type="paragraph" w:customStyle="1" w:styleId="FWBL4">
    <w:name w:val="FWB_L4"/>
    <w:basedOn w:val="FWBL3"/>
    <w:rsid w:val="002B429F"/>
    <w:pPr>
      <w:numPr>
        <w:ilvl w:val="3"/>
      </w:numPr>
      <w:tabs>
        <w:tab w:val="num" w:pos="360"/>
        <w:tab w:val="num" w:pos="2520"/>
      </w:tabs>
      <w:ind w:left="360" w:hanging="360"/>
    </w:pPr>
  </w:style>
  <w:style w:type="paragraph" w:styleId="af6">
    <w:name w:val="Revision"/>
    <w:hidden/>
    <w:uiPriority w:val="99"/>
    <w:semiHidden/>
    <w:rsid w:val="000230AE"/>
    <w:rPr>
      <w:sz w:val="24"/>
    </w:rPr>
  </w:style>
  <w:style w:type="character" w:styleId="af7">
    <w:name w:val="FollowedHyperlink"/>
    <w:basedOn w:val="a0"/>
    <w:semiHidden/>
    <w:unhideWhenUsed/>
    <w:rsid w:val="00B2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bur.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LEGDHKNZFHQE-17-3608</_dlc_DocId>
    <_dlc_DocIdUrl xmlns="f089171f-9a62-46ba-b25a-510fcfdc944d">
      <Url>https://sharepoint/Legal/_layouts/15/DocIdRedir.aspx?ID=LEGDHKNZFHQE-17-3608</Url>
      <Description>LEGDHKNZFHQE-17-3608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0157-0354-46FB-B79D-0E489B16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C6B06-A0BB-4C2B-B40E-4A49000E0AC8}">
  <ds:schemaRefs>
    <ds:schemaRef ds:uri="http://schemas.microsoft.com/sharepoint/events"/>
  </ds:schemaRefs>
</ds:datastoreItem>
</file>

<file path=customXml/itemProps3.xml><?xml version="1.0" encoding="utf-8"?>
<ds:datastoreItem xmlns:ds="http://schemas.openxmlformats.org/officeDocument/2006/customXml" ds:itemID="{BD9B8C83-B159-4D02-B7EB-ADAA514A95AB}">
  <ds:schemaRefs>
    <ds:schemaRef ds:uri="http://schemas.microsoft.com/sharepoint/v3/contenttype/forms"/>
  </ds:schemaRefs>
</ds:datastoreItem>
</file>

<file path=customXml/itemProps4.xml><?xml version="1.0" encoding="utf-8"?>
<ds:datastoreItem xmlns:ds="http://schemas.openxmlformats.org/officeDocument/2006/customXml" ds:itemID="{44CC8AA0-DA3B-4C0E-9E44-8FB2E2ACA9C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5.xml><?xml version="1.0" encoding="utf-8"?>
<ds:datastoreItem xmlns:ds="http://schemas.openxmlformats.org/officeDocument/2006/customXml" ds:itemID="{3D55BFB6-057E-4A9D-A144-CF5F2A14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2528</Words>
  <Characters>14412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NDA_обмен информацией</vt:lpstr>
      <vt:lpstr>NDA_обмен информацией</vt:lpstr>
    </vt:vector>
  </TitlesOfParts>
  <Company>АК "СИБУР"</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NDA_обмен информацией</dc:title>
  <dc:creator>ChikinaNA</dc:creator>
  <cp:lastModifiedBy>Гнедь Юлия Михайловна</cp:lastModifiedBy>
  <cp:revision>2</cp:revision>
  <cp:lastPrinted>2017-11-13T13:38:00Z</cp:lastPrinted>
  <dcterms:created xsi:type="dcterms:W3CDTF">2024-06-20T09:49:00Z</dcterms:created>
  <dcterms:modified xsi:type="dcterms:W3CDTF">2024-06-20T09:49:00Z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_dlc_DocIdItemGuid">
    <vt:lpwstr>5b0db6b8-bb03-435c-b086-eef30355971a</vt:lpwstr>
  </property>
</Properties>
</file>